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DF1D1" w14:textId="77777777" w:rsidR="007D7AAA" w:rsidRDefault="00A00321" w:rsidP="001D05C3">
      <w:pPr>
        <w:jc w:val="center"/>
      </w:pPr>
      <w:bookmarkStart w:id="0" w:name="_Toc178583059"/>
      <w:bookmarkStart w:id="1" w:name="_Toc178595926"/>
      <w:bookmarkStart w:id="2" w:name="_Toc178596630"/>
      <w:bookmarkStart w:id="3" w:name="_Toc178596829"/>
      <w:r w:rsidRPr="001D05C3">
        <w:rPr>
          <w:noProof/>
        </w:rPr>
        <w:drawing>
          <wp:inline distT="0" distB="0" distL="0" distR="0" wp14:anchorId="2A53B10E" wp14:editId="14FE0FCA">
            <wp:extent cx="2789381" cy="1917700"/>
            <wp:effectExtent l="0" t="0" r="5080" b="0"/>
            <wp:docPr id="556542101" name="Picture 4" descr="NCADEMI logo: National Center on Accessible Digital Educational Materials &amp; I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542101" name="Picture 4" descr="NCADEMI logo: National Center on Accessible Digital Educational Materials &amp; Instruction"/>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89381" cy="1917700"/>
                    </a:xfrm>
                    <a:prstGeom prst="rect">
                      <a:avLst/>
                    </a:prstGeom>
                  </pic:spPr>
                </pic:pic>
              </a:graphicData>
            </a:graphic>
          </wp:inline>
        </w:drawing>
      </w:r>
      <w:bookmarkEnd w:id="0"/>
      <w:bookmarkEnd w:id="1"/>
      <w:bookmarkEnd w:id="2"/>
      <w:bookmarkEnd w:id="3"/>
    </w:p>
    <w:p w14:paraId="63B3EB71" w14:textId="075CB235" w:rsidR="00F4598F" w:rsidRDefault="00F4598F" w:rsidP="00104515">
      <w:pPr>
        <w:pStyle w:val="Heading1"/>
      </w:pPr>
      <w:bookmarkStart w:id="4" w:name="_Toc227136496"/>
      <w:r w:rsidRPr="00F4598F">
        <w:t>More to the Myths &amp; Facts Training Guide</w:t>
      </w:r>
      <w:bookmarkEnd w:id="4"/>
    </w:p>
    <w:p w14:paraId="04D041FA" w14:textId="6ED92CAC" w:rsidR="00A00321" w:rsidRPr="00F4598F" w:rsidRDefault="00F4598F" w:rsidP="007E6553">
      <w:pPr>
        <w:pStyle w:val="PubDate"/>
        <w:spacing w:after="720"/>
        <w:rPr>
          <w:caps/>
          <w:color w:val="333333"/>
        </w:rPr>
      </w:pPr>
      <w:r w:rsidRPr="00F4598F">
        <w:rPr>
          <w:caps/>
          <w:color w:val="333333"/>
        </w:rPr>
        <w:t>April 2026</w:t>
      </w:r>
    </w:p>
    <w:p w14:paraId="6CF11D02" w14:textId="2FC030DC" w:rsidR="0056460F" w:rsidRPr="001D05C3" w:rsidRDefault="00104515" w:rsidP="003A3237">
      <w:pPr>
        <w:pStyle w:val="IDEAS"/>
        <w:rPr>
          <w:noProof w:val="0"/>
        </w:rPr>
      </w:pPr>
      <w:r w:rsidRPr="001D05C3">
        <w:drawing>
          <wp:anchor distT="0" distB="0" distL="114300" distR="114300" simplePos="0" relativeHeight="251658240" behindDoc="0" locked="0" layoutInCell="1" allowOverlap="1" wp14:anchorId="33AC204A" wp14:editId="63244C75">
            <wp:simplePos x="0" y="0"/>
            <wp:positionH relativeFrom="margin">
              <wp:align>right</wp:align>
            </wp:positionH>
            <wp:positionV relativeFrom="margin">
              <wp:posOffset>3327400</wp:posOffset>
            </wp:positionV>
            <wp:extent cx="1457325" cy="919480"/>
            <wp:effectExtent l="0" t="0" r="9525" b="0"/>
            <wp:wrapSquare wrapText="bothSides"/>
            <wp:docPr id="1067647741" name="Picture 6" descr="Ideas that Work logo: Office of Special Education Programs, U.S. Department of Educ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647741" name="Picture 6" descr="Ideas that Work logo: Office of Special Education Programs, U.S. Department of Education">
                      <a:extLst>
                        <a:ext uri="{C183D7F6-B498-43B3-948B-1728B52AA6E4}">
                          <adec:decorative xmlns:adec="http://schemas.microsoft.com/office/drawing/2017/decorative" val="0"/>
                        </a:ext>
                      </a:extLst>
                    </pic:cNvPr>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457325" cy="919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1F0E" w:rsidRPr="001D05C3">
        <w:rPr>
          <w:noProof w:val="0"/>
        </w:rPr>
        <w:fldChar w:fldCharType="begin"/>
      </w:r>
      <w:r w:rsidR="00301F0E" w:rsidRPr="001D05C3">
        <w:rPr>
          <w:noProof w:val="0"/>
        </w:rPr>
        <w:instrText xml:space="preserve"> INCLUDEPICTURE "https://osepideasthatwork.org/themes/custom/osepideasthatwork_barrio/images/IDEAS-logo-sm.png" \* MERGEFORMATINET </w:instrText>
      </w:r>
      <w:r w:rsidR="00301F0E" w:rsidRPr="001D05C3">
        <w:rPr>
          <w:noProof w:val="0"/>
        </w:rPr>
        <w:fldChar w:fldCharType="separate"/>
      </w:r>
      <w:r w:rsidR="00301F0E" w:rsidRPr="001D05C3">
        <w:rPr>
          <w:noProof w:val="0"/>
        </w:rPr>
        <w:fldChar w:fldCharType="end"/>
      </w:r>
      <w:r w:rsidR="00873B13" w:rsidRPr="001D05C3">
        <w:rPr>
          <w:noProof w:val="0"/>
        </w:rPr>
        <w:t>The contents of this document were developed under a cooperative agreement with the U.S. Department of Education, Office of Special Education Programs (Award No. H327Z240007). However, those contents do not necessarily represent the policy of the Department of Education, and you should not assume endorsement by the Federal Government. Project Officer, Rebecca Sheffield, Ph.D.</w:t>
      </w:r>
    </w:p>
    <w:p w14:paraId="167063EF" w14:textId="5AF979BD" w:rsidR="0056460F" w:rsidRPr="007871C9" w:rsidRDefault="0056460F" w:rsidP="007E6553">
      <w:pPr>
        <w:pStyle w:val="CC"/>
        <w:spacing w:after="600"/>
        <w:rPr>
          <w:rFonts w:asciiTheme="majorHAnsi" w:eastAsiaTheme="majorEastAsia" w:hAnsiTheme="majorHAnsi" w:cstheme="majorBidi"/>
          <w:color w:val="005193"/>
        </w:rPr>
      </w:pPr>
      <w:r w:rsidRPr="001D05C3">
        <w:fldChar w:fldCharType="begin"/>
      </w:r>
      <w:r w:rsidRPr="001D05C3">
        <w:instrText xml:space="preserve"> INCLUDEPICTURE "https://mirrors.creativecommons.org/presskit/buttons/88x31/png/by-sa.png" \* MERGEFORMATINET </w:instrText>
      </w:r>
      <w:r w:rsidRPr="001D05C3">
        <w:fldChar w:fldCharType="separate"/>
      </w:r>
      <w:r w:rsidRPr="001D05C3">
        <w:rPr>
          <w:noProof/>
        </w:rPr>
        <w:drawing>
          <wp:anchor distT="0" distB="0" distL="114300" distR="114300" simplePos="0" relativeHeight="251658241" behindDoc="0" locked="0" layoutInCell="1" allowOverlap="1" wp14:anchorId="117BDE9B" wp14:editId="2C865FBA">
            <wp:simplePos x="0" y="0"/>
            <wp:positionH relativeFrom="column">
              <wp:posOffset>0</wp:posOffset>
            </wp:positionH>
            <wp:positionV relativeFrom="paragraph">
              <wp:posOffset>5715</wp:posOffset>
            </wp:positionV>
            <wp:extent cx="1197610" cy="419100"/>
            <wp:effectExtent l="0" t="0" r="0" b="0"/>
            <wp:wrapSquare wrapText="bothSides"/>
            <wp:docPr id="326803823" name="Picture 5" descr="CC BY-S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803823" name="Picture 5" descr="CC BY-SA">
                      <a:extLst>
                        <a:ext uri="{C183D7F6-B498-43B3-948B-1728B52AA6E4}">
                          <adec:decorative xmlns:adec="http://schemas.microsoft.com/office/drawing/2017/decorative" val="0"/>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761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05C3">
        <w:fldChar w:fldCharType="end"/>
      </w:r>
      <w:r w:rsidR="00A00321" w:rsidRPr="001D05C3">
        <w:t xml:space="preserve">This work is licensed under a Creative Commons Attribution-ShareAlike 4.0 International license. </w:t>
      </w:r>
      <w:hyperlink r:id="rId11" w:history="1">
        <w:r w:rsidR="001D05C3" w:rsidRPr="001D05C3">
          <w:rPr>
            <w:rStyle w:val="Hyperlink"/>
          </w:rPr>
          <w:t>https://creativecommons.org/licenses/by-sa/4.0/</w:t>
        </w:r>
      </w:hyperlink>
    </w:p>
    <w:p w14:paraId="3309062D" w14:textId="77777777" w:rsidR="0056460F" w:rsidRPr="001D05C3" w:rsidRDefault="001A2372" w:rsidP="003A3237">
      <w:pPr>
        <w:pStyle w:val="Logos"/>
        <w:rPr>
          <w:noProof w:val="0"/>
        </w:rPr>
      </w:pPr>
      <w:r w:rsidRPr="001D05C3">
        <w:drawing>
          <wp:inline distT="0" distB="0" distL="0" distR="0" wp14:anchorId="0B0706B5" wp14:editId="4C5D9059">
            <wp:extent cx="1818640" cy="546100"/>
            <wp:effectExtent l="0" t="0" r="0" b="0"/>
            <wp:docPr id="158869651" name="Picture 3" descr="TAESE logo: Technical Assistance for Excellence in Special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69651" name="Picture 3" descr="TAESE logo: Technical Assistance for Excellence in Special Educat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8640" cy="546100"/>
                    </a:xfrm>
                    <a:prstGeom prst="rect">
                      <a:avLst/>
                    </a:prstGeom>
                  </pic:spPr>
                </pic:pic>
              </a:graphicData>
            </a:graphic>
          </wp:inline>
        </w:drawing>
      </w:r>
      <w:r w:rsidR="003C5879" w:rsidRPr="001D05C3">
        <w:rPr>
          <w:noProof w:val="0"/>
        </w:rPr>
        <w:t xml:space="preserve">              </w:t>
      </w:r>
      <w:r w:rsidR="003C5879" w:rsidRPr="001D05C3">
        <w:drawing>
          <wp:inline distT="0" distB="0" distL="0" distR="0" wp14:anchorId="4AE976F3" wp14:editId="4A40A4B3">
            <wp:extent cx="2300605" cy="800100"/>
            <wp:effectExtent l="0" t="0" r="0" b="0"/>
            <wp:docPr id="1682141055" name="Picture 4" descr="IDRPP logo: Institute for Disability Research, Policy &amp;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141055" name="Picture 4" descr="IDRPP logo: Institute for Disability Research, Policy &amp; Practi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00605" cy="800100"/>
                    </a:xfrm>
                    <a:prstGeom prst="rect">
                      <a:avLst/>
                    </a:prstGeom>
                  </pic:spPr>
                </pic:pic>
              </a:graphicData>
            </a:graphic>
          </wp:inline>
        </w:drawing>
      </w:r>
      <w:r w:rsidR="003C5879" w:rsidRPr="001D05C3">
        <w:rPr>
          <w:noProof w:val="0"/>
        </w:rPr>
        <w:t xml:space="preserve">              </w:t>
      </w:r>
      <w:r w:rsidRPr="001D05C3">
        <w:drawing>
          <wp:inline distT="0" distB="0" distL="0" distR="0" wp14:anchorId="34526049" wp14:editId="3B4AECC4">
            <wp:extent cx="1816100" cy="480695"/>
            <wp:effectExtent l="0" t="0" r="0" b="1905"/>
            <wp:docPr id="899005421" name="Picture 5" descr="WebAIM logo: Web Accessibility in M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005421" name="Picture 5" descr="WebAIM logo: Web Accessibility in Min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16100" cy="480695"/>
                    </a:xfrm>
                    <a:prstGeom prst="rect">
                      <a:avLst/>
                    </a:prstGeom>
                  </pic:spPr>
                </pic:pic>
              </a:graphicData>
            </a:graphic>
          </wp:inline>
        </w:drawing>
      </w:r>
    </w:p>
    <w:p w14:paraId="53BE08BC" w14:textId="77777777" w:rsidR="0056460F" w:rsidRPr="001D05C3" w:rsidRDefault="0056460F" w:rsidP="0056460F">
      <w:pPr>
        <w:pStyle w:val="Footer"/>
        <w:jc w:val="center"/>
        <w:rPr>
          <w:noProof w:val="0"/>
        </w:rPr>
      </w:pPr>
    </w:p>
    <w:p w14:paraId="181B56CC" w14:textId="77777777" w:rsidR="0056460F" w:rsidRPr="001D05C3" w:rsidRDefault="0056460F" w:rsidP="0056460F">
      <w:pPr>
        <w:pStyle w:val="Footer"/>
        <w:jc w:val="center"/>
        <w:rPr>
          <w:noProof w:val="0"/>
        </w:rPr>
      </w:pPr>
    </w:p>
    <w:p w14:paraId="1176EDE2" w14:textId="39343451" w:rsidR="0056460F" w:rsidRPr="001D05C3" w:rsidRDefault="0056460F" w:rsidP="00A55815">
      <w:pPr>
        <w:pStyle w:val="CoverAddress"/>
      </w:pPr>
      <w:r w:rsidRPr="001D05C3">
        <w:t>6581 Old Main Hill, Logan, UT 84322 | (435) 554-8213</w:t>
      </w:r>
    </w:p>
    <w:p w14:paraId="7C2FD0F5" w14:textId="0871A6A7" w:rsidR="00873B13" w:rsidRPr="001D05C3" w:rsidRDefault="001D05C3" w:rsidP="00FC329E">
      <w:pPr>
        <w:pStyle w:val="CoverAddress"/>
      </w:pPr>
      <w:hyperlink r:id="rId15" w:history="1">
        <w:r w:rsidRPr="001D05C3">
          <w:rPr>
            <w:rStyle w:val="Hyperlink"/>
          </w:rPr>
          <w:t>ncademi.org</w:t>
        </w:r>
      </w:hyperlink>
      <w:r w:rsidR="0056460F" w:rsidRPr="001D05C3">
        <w:t xml:space="preserve">  |  </w:t>
      </w:r>
      <w:hyperlink r:id="rId16" w:history="1">
        <w:r w:rsidR="0026442E" w:rsidRPr="00193874">
          <w:rPr>
            <w:rStyle w:val="Hyperlink"/>
          </w:rPr>
          <w:t>ncademi@usu.edu</w:t>
        </w:r>
      </w:hyperlink>
    </w:p>
    <w:p w14:paraId="0416B4A3" w14:textId="6C7A075E" w:rsidR="00F608F4" w:rsidRPr="001D05C3" w:rsidRDefault="00100DD9" w:rsidP="00FE5F73">
      <w:pPr>
        <w:pStyle w:val="Heading2"/>
        <w:pageBreakBefore/>
      </w:pPr>
      <w:bookmarkStart w:id="5" w:name="_Toc178583061"/>
      <w:bookmarkStart w:id="6" w:name="_Toc178595928"/>
      <w:bookmarkStart w:id="7" w:name="_Toc178596632"/>
      <w:bookmarkStart w:id="8" w:name="_Toc178596831"/>
      <w:bookmarkStart w:id="9" w:name="_Toc181631778"/>
      <w:bookmarkStart w:id="10" w:name="_Toc227074429"/>
      <w:bookmarkStart w:id="11" w:name="_Toc227074801"/>
      <w:bookmarkStart w:id="12" w:name="_Toc227077070"/>
      <w:bookmarkStart w:id="13" w:name="_Toc227136497"/>
      <w:r>
        <w:lastRenderedPageBreak/>
        <w:t xml:space="preserve">Table of </w:t>
      </w:r>
      <w:r w:rsidR="00873B13" w:rsidRPr="001D05C3">
        <w:t>Contents</w:t>
      </w:r>
      <w:bookmarkStart w:id="14" w:name="_Toc176947178"/>
      <w:bookmarkStart w:id="15" w:name="_Toc176947364"/>
      <w:bookmarkStart w:id="16" w:name="_Toc176947489"/>
      <w:bookmarkStart w:id="17" w:name="_Toc176947589"/>
      <w:bookmarkEnd w:id="5"/>
      <w:bookmarkEnd w:id="6"/>
      <w:bookmarkEnd w:id="7"/>
      <w:bookmarkEnd w:id="8"/>
      <w:bookmarkEnd w:id="9"/>
      <w:bookmarkEnd w:id="10"/>
      <w:bookmarkEnd w:id="11"/>
      <w:bookmarkEnd w:id="12"/>
      <w:bookmarkEnd w:id="13"/>
    </w:p>
    <w:sdt>
      <w:sdtPr>
        <w:rPr>
          <w:rFonts w:asciiTheme="minorHAnsi" w:eastAsiaTheme="minorHAnsi" w:hAnsiTheme="minorHAnsi" w:cstheme="minorBidi"/>
          <w:color w:val="000000" w:themeColor="text1"/>
          <w:sz w:val="24"/>
          <w:szCs w:val="24"/>
        </w:rPr>
        <w:id w:val="1086194259"/>
        <w:docPartObj>
          <w:docPartGallery w:val="Table of Contents"/>
          <w:docPartUnique/>
        </w:docPartObj>
      </w:sdtPr>
      <w:sdtEndPr>
        <w:rPr>
          <w:b/>
          <w:bCs/>
          <w:noProof/>
        </w:rPr>
      </w:sdtEndPr>
      <w:sdtContent>
        <w:p w14:paraId="0DFB9A12" w14:textId="5986D772" w:rsidR="00524446" w:rsidRDefault="00FE39BB" w:rsidP="00524446">
          <w:pPr>
            <w:pStyle w:val="TOCHeading"/>
            <w:spacing w:after="240"/>
            <w:rPr>
              <w:rFonts w:eastAsiaTheme="minorEastAsia"/>
              <w:noProof/>
              <w:color w:val="auto"/>
              <w:kern w:val="2"/>
              <w14:ligatures w14:val="standardContextual"/>
            </w:rPr>
          </w:pPr>
          <w:r>
            <w:t>Contents</w:t>
          </w:r>
          <w:r w:rsidR="00480A98">
            <w:fldChar w:fldCharType="begin"/>
          </w:r>
          <w:r w:rsidR="00480A98">
            <w:instrText xml:space="preserve"> TOC \o "1-2" \h \z \u </w:instrText>
          </w:r>
          <w:r w:rsidR="00480A98">
            <w:fldChar w:fldCharType="separate"/>
          </w:r>
        </w:p>
        <w:p w14:paraId="08524DAE" w14:textId="7801F03C" w:rsidR="00524446" w:rsidRDefault="00524446">
          <w:pPr>
            <w:pStyle w:val="TOC2"/>
            <w:tabs>
              <w:tab w:val="right" w:leader="dot" w:pos="9350"/>
            </w:tabs>
            <w:rPr>
              <w:rFonts w:eastAsiaTheme="minorEastAsia"/>
              <w:noProof/>
              <w:color w:val="auto"/>
              <w:kern w:val="2"/>
              <w14:ligatures w14:val="standardContextual"/>
            </w:rPr>
          </w:pPr>
          <w:hyperlink w:anchor="_Toc227136498" w:history="1">
            <w:r w:rsidRPr="00CE06E7">
              <w:rPr>
                <w:rStyle w:val="Hyperlink"/>
                <w:noProof/>
              </w:rPr>
              <w:t>Background Information</w:t>
            </w:r>
            <w:r>
              <w:rPr>
                <w:noProof/>
                <w:webHidden/>
              </w:rPr>
              <w:tab/>
            </w:r>
            <w:r>
              <w:rPr>
                <w:noProof/>
                <w:webHidden/>
              </w:rPr>
              <w:fldChar w:fldCharType="begin"/>
            </w:r>
            <w:r>
              <w:rPr>
                <w:noProof/>
                <w:webHidden/>
              </w:rPr>
              <w:instrText xml:space="preserve"> PAGEREF _Toc227136498 \h </w:instrText>
            </w:r>
            <w:r>
              <w:rPr>
                <w:noProof/>
                <w:webHidden/>
              </w:rPr>
            </w:r>
            <w:r>
              <w:rPr>
                <w:noProof/>
                <w:webHidden/>
              </w:rPr>
              <w:fldChar w:fldCharType="separate"/>
            </w:r>
            <w:r>
              <w:rPr>
                <w:noProof/>
                <w:webHidden/>
              </w:rPr>
              <w:t>1</w:t>
            </w:r>
            <w:r>
              <w:rPr>
                <w:noProof/>
                <w:webHidden/>
              </w:rPr>
              <w:fldChar w:fldCharType="end"/>
            </w:r>
          </w:hyperlink>
        </w:p>
        <w:p w14:paraId="587AB4F9" w14:textId="698E148C" w:rsidR="00524446" w:rsidRDefault="00524446">
          <w:pPr>
            <w:pStyle w:val="TOC2"/>
            <w:tabs>
              <w:tab w:val="right" w:leader="dot" w:pos="9350"/>
            </w:tabs>
            <w:rPr>
              <w:rFonts w:eastAsiaTheme="minorEastAsia"/>
              <w:noProof/>
              <w:color w:val="auto"/>
              <w:kern w:val="2"/>
              <w14:ligatures w14:val="standardContextual"/>
            </w:rPr>
          </w:pPr>
          <w:hyperlink w:anchor="_Toc227136499" w:history="1">
            <w:r w:rsidRPr="00CE06E7">
              <w:rPr>
                <w:rStyle w:val="Hyperlink"/>
                <w:noProof/>
              </w:rPr>
              <w:t>Session Preparation</w:t>
            </w:r>
            <w:r>
              <w:rPr>
                <w:noProof/>
                <w:webHidden/>
              </w:rPr>
              <w:tab/>
            </w:r>
            <w:r>
              <w:rPr>
                <w:noProof/>
                <w:webHidden/>
              </w:rPr>
              <w:fldChar w:fldCharType="begin"/>
            </w:r>
            <w:r>
              <w:rPr>
                <w:noProof/>
                <w:webHidden/>
              </w:rPr>
              <w:instrText xml:space="preserve"> PAGEREF _Toc227136499 \h </w:instrText>
            </w:r>
            <w:r>
              <w:rPr>
                <w:noProof/>
                <w:webHidden/>
              </w:rPr>
            </w:r>
            <w:r>
              <w:rPr>
                <w:noProof/>
                <w:webHidden/>
              </w:rPr>
              <w:fldChar w:fldCharType="separate"/>
            </w:r>
            <w:r>
              <w:rPr>
                <w:noProof/>
                <w:webHidden/>
              </w:rPr>
              <w:t>2</w:t>
            </w:r>
            <w:r>
              <w:rPr>
                <w:noProof/>
                <w:webHidden/>
              </w:rPr>
              <w:fldChar w:fldCharType="end"/>
            </w:r>
          </w:hyperlink>
        </w:p>
        <w:p w14:paraId="767D871A" w14:textId="2EC24B1D" w:rsidR="00524446" w:rsidRDefault="00524446">
          <w:pPr>
            <w:pStyle w:val="TOC2"/>
            <w:tabs>
              <w:tab w:val="right" w:leader="dot" w:pos="9350"/>
            </w:tabs>
            <w:rPr>
              <w:rFonts w:eastAsiaTheme="minorEastAsia"/>
              <w:noProof/>
              <w:color w:val="auto"/>
              <w:kern w:val="2"/>
              <w14:ligatures w14:val="standardContextual"/>
            </w:rPr>
          </w:pPr>
          <w:hyperlink w:anchor="_Toc227136500" w:history="1">
            <w:r w:rsidRPr="00CE06E7">
              <w:rPr>
                <w:rStyle w:val="Hyperlink"/>
                <w:noProof/>
              </w:rPr>
              <w:t>Opening Slides (Slides 1-3)</w:t>
            </w:r>
            <w:r>
              <w:rPr>
                <w:noProof/>
                <w:webHidden/>
              </w:rPr>
              <w:tab/>
            </w:r>
            <w:r>
              <w:rPr>
                <w:noProof/>
                <w:webHidden/>
              </w:rPr>
              <w:fldChar w:fldCharType="begin"/>
            </w:r>
            <w:r>
              <w:rPr>
                <w:noProof/>
                <w:webHidden/>
              </w:rPr>
              <w:instrText xml:space="preserve"> PAGEREF _Toc227136500 \h </w:instrText>
            </w:r>
            <w:r>
              <w:rPr>
                <w:noProof/>
                <w:webHidden/>
              </w:rPr>
            </w:r>
            <w:r>
              <w:rPr>
                <w:noProof/>
                <w:webHidden/>
              </w:rPr>
              <w:fldChar w:fldCharType="separate"/>
            </w:r>
            <w:r>
              <w:rPr>
                <w:noProof/>
                <w:webHidden/>
              </w:rPr>
              <w:t>2</w:t>
            </w:r>
            <w:r>
              <w:rPr>
                <w:noProof/>
                <w:webHidden/>
              </w:rPr>
              <w:fldChar w:fldCharType="end"/>
            </w:r>
          </w:hyperlink>
        </w:p>
        <w:p w14:paraId="48B4D7B2" w14:textId="17202AAD" w:rsidR="00524446" w:rsidRDefault="00524446">
          <w:pPr>
            <w:pStyle w:val="TOC2"/>
            <w:tabs>
              <w:tab w:val="right" w:leader="dot" w:pos="9350"/>
            </w:tabs>
            <w:rPr>
              <w:rFonts w:eastAsiaTheme="minorEastAsia"/>
              <w:noProof/>
              <w:color w:val="auto"/>
              <w:kern w:val="2"/>
              <w14:ligatures w14:val="standardContextual"/>
            </w:rPr>
          </w:pPr>
          <w:hyperlink w:anchor="_Toc227136501" w:history="1">
            <w:r w:rsidRPr="00CE06E7">
              <w:rPr>
                <w:rStyle w:val="Hyperlink"/>
                <w:noProof/>
              </w:rPr>
              <w:t>Definitions &amp; Background (Slides 4-9)</w:t>
            </w:r>
            <w:r>
              <w:rPr>
                <w:noProof/>
                <w:webHidden/>
              </w:rPr>
              <w:tab/>
            </w:r>
            <w:r>
              <w:rPr>
                <w:noProof/>
                <w:webHidden/>
              </w:rPr>
              <w:fldChar w:fldCharType="begin"/>
            </w:r>
            <w:r>
              <w:rPr>
                <w:noProof/>
                <w:webHidden/>
              </w:rPr>
              <w:instrText xml:space="preserve"> PAGEREF _Toc227136501 \h </w:instrText>
            </w:r>
            <w:r>
              <w:rPr>
                <w:noProof/>
                <w:webHidden/>
              </w:rPr>
            </w:r>
            <w:r>
              <w:rPr>
                <w:noProof/>
                <w:webHidden/>
              </w:rPr>
              <w:fldChar w:fldCharType="separate"/>
            </w:r>
            <w:r>
              <w:rPr>
                <w:noProof/>
                <w:webHidden/>
              </w:rPr>
              <w:t>3</w:t>
            </w:r>
            <w:r>
              <w:rPr>
                <w:noProof/>
                <w:webHidden/>
              </w:rPr>
              <w:fldChar w:fldCharType="end"/>
            </w:r>
          </w:hyperlink>
        </w:p>
        <w:p w14:paraId="5CC3AD31" w14:textId="71FED1FE" w:rsidR="00524446" w:rsidRDefault="00524446">
          <w:pPr>
            <w:pStyle w:val="TOC2"/>
            <w:tabs>
              <w:tab w:val="right" w:leader="dot" w:pos="9350"/>
            </w:tabs>
            <w:rPr>
              <w:rFonts w:eastAsiaTheme="minorEastAsia"/>
              <w:noProof/>
              <w:color w:val="auto"/>
              <w:kern w:val="2"/>
              <w14:ligatures w14:val="standardContextual"/>
            </w:rPr>
          </w:pPr>
          <w:hyperlink w:anchor="_Toc227136502" w:history="1">
            <w:r w:rsidRPr="00CE06E7">
              <w:rPr>
                <w:rStyle w:val="Hyperlink"/>
                <w:noProof/>
              </w:rPr>
              <w:t>Related Laws (Slides 10-13)</w:t>
            </w:r>
            <w:r>
              <w:rPr>
                <w:noProof/>
                <w:webHidden/>
              </w:rPr>
              <w:tab/>
            </w:r>
            <w:r>
              <w:rPr>
                <w:noProof/>
                <w:webHidden/>
              </w:rPr>
              <w:fldChar w:fldCharType="begin"/>
            </w:r>
            <w:r>
              <w:rPr>
                <w:noProof/>
                <w:webHidden/>
              </w:rPr>
              <w:instrText xml:space="preserve"> PAGEREF _Toc227136502 \h </w:instrText>
            </w:r>
            <w:r>
              <w:rPr>
                <w:noProof/>
                <w:webHidden/>
              </w:rPr>
            </w:r>
            <w:r>
              <w:rPr>
                <w:noProof/>
                <w:webHidden/>
              </w:rPr>
              <w:fldChar w:fldCharType="separate"/>
            </w:r>
            <w:r>
              <w:rPr>
                <w:noProof/>
                <w:webHidden/>
              </w:rPr>
              <w:t>5</w:t>
            </w:r>
            <w:r>
              <w:rPr>
                <w:noProof/>
                <w:webHidden/>
              </w:rPr>
              <w:fldChar w:fldCharType="end"/>
            </w:r>
          </w:hyperlink>
        </w:p>
        <w:p w14:paraId="59D80F5C" w14:textId="20684EB5" w:rsidR="00524446" w:rsidRDefault="00524446">
          <w:pPr>
            <w:pStyle w:val="TOC2"/>
            <w:tabs>
              <w:tab w:val="right" w:leader="dot" w:pos="9350"/>
            </w:tabs>
            <w:rPr>
              <w:rFonts w:eastAsiaTheme="minorEastAsia"/>
              <w:noProof/>
              <w:color w:val="auto"/>
              <w:kern w:val="2"/>
              <w14:ligatures w14:val="standardContextual"/>
            </w:rPr>
          </w:pPr>
          <w:hyperlink w:anchor="_Toc227136503" w:history="1">
            <w:r w:rsidRPr="00CE06E7">
              <w:rPr>
                <w:rStyle w:val="Hyperlink"/>
                <w:noProof/>
              </w:rPr>
              <w:t>Key Resources (Slides 13-17)</w:t>
            </w:r>
            <w:r>
              <w:rPr>
                <w:noProof/>
                <w:webHidden/>
              </w:rPr>
              <w:tab/>
            </w:r>
            <w:r>
              <w:rPr>
                <w:noProof/>
                <w:webHidden/>
              </w:rPr>
              <w:fldChar w:fldCharType="begin"/>
            </w:r>
            <w:r>
              <w:rPr>
                <w:noProof/>
                <w:webHidden/>
              </w:rPr>
              <w:instrText xml:space="preserve"> PAGEREF _Toc227136503 \h </w:instrText>
            </w:r>
            <w:r>
              <w:rPr>
                <w:noProof/>
                <w:webHidden/>
              </w:rPr>
            </w:r>
            <w:r>
              <w:rPr>
                <w:noProof/>
                <w:webHidden/>
              </w:rPr>
              <w:fldChar w:fldCharType="separate"/>
            </w:r>
            <w:r>
              <w:rPr>
                <w:noProof/>
                <w:webHidden/>
              </w:rPr>
              <w:t>6</w:t>
            </w:r>
            <w:r>
              <w:rPr>
                <w:noProof/>
                <w:webHidden/>
              </w:rPr>
              <w:fldChar w:fldCharType="end"/>
            </w:r>
          </w:hyperlink>
        </w:p>
        <w:p w14:paraId="50D21F1A" w14:textId="0C2BB6A1" w:rsidR="00524446" w:rsidRDefault="00524446">
          <w:pPr>
            <w:pStyle w:val="TOC2"/>
            <w:tabs>
              <w:tab w:val="right" w:leader="dot" w:pos="9350"/>
            </w:tabs>
            <w:rPr>
              <w:rFonts w:eastAsiaTheme="minorEastAsia"/>
              <w:noProof/>
              <w:color w:val="auto"/>
              <w:kern w:val="2"/>
              <w14:ligatures w14:val="standardContextual"/>
            </w:rPr>
          </w:pPr>
          <w:hyperlink w:anchor="_Toc227136504" w:history="1">
            <w:r w:rsidRPr="00CE06E7">
              <w:rPr>
                <w:rStyle w:val="Hyperlink"/>
                <w:noProof/>
              </w:rPr>
              <w:t>Bust the Myths! (Slides 17-19)</w:t>
            </w:r>
            <w:r>
              <w:rPr>
                <w:noProof/>
                <w:webHidden/>
              </w:rPr>
              <w:tab/>
            </w:r>
            <w:r>
              <w:rPr>
                <w:noProof/>
                <w:webHidden/>
              </w:rPr>
              <w:fldChar w:fldCharType="begin"/>
            </w:r>
            <w:r>
              <w:rPr>
                <w:noProof/>
                <w:webHidden/>
              </w:rPr>
              <w:instrText xml:space="preserve"> PAGEREF _Toc227136504 \h </w:instrText>
            </w:r>
            <w:r>
              <w:rPr>
                <w:noProof/>
                <w:webHidden/>
              </w:rPr>
            </w:r>
            <w:r>
              <w:rPr>
                <w:noProof/>
                <w:webHidden/>
              </w:rPr>
              <w:fldChar w:fldCharType="separate"/>
            </w:r>
            <w:r>
              <w:rPr>
                <w:noProof/>
                <w:webHidden/>
              </w:rPr>
              <w:t>7</w:t>
            </w:r>
            <w:r>
              <w:rPr>
                <w:noProof/>
                <w:webHidden/>
              </w:rPr>
              <w:fldChar w:fldCharType="end"/>
            </w:r>
          </w:hyperlink>
        </w:p>
        <w:p w14:paraId="28000AC1" w14:textId="0C0788BE" w:rsidR="00524446" w:rsidRDefault="00524446">
          <w:pPr>
            <w:pStyle w:val="TOC2"/>
            <w:tabs>
              <w:tab w:val="right" w:leader="dot" w:pos="9350"/>
            </w:tabs>
            <w:rPr>
              <w:rFonts w:eastAsiaTheme="minorEastAsia"/>
              <w:noProof/>
              <w:color w:val="auto"/>
              <w:kern w:val="2"/>
              <w14:ligatures w14:val="standardContextual"/>
            </w:rPr>
          </w:pPr>
          <w:hyperlink w:anchor="_Toc227136505" w:history="1">
            <w:r w:rsidRPr="00CE06E7">
              <w:rPr>
                <w:rStyle w:val="Hyperlink"/>
                <w:noProof/>
              </w:rPr>
              <w:t>Myth-busting Discussion (Slides 20-34)</w:t>
            </w:r>
            <w:r>
              <w:rPr>
                <w:noProof/>
                <w:webHidden/>
              </w:rPr>
              <w:tab/>
            </w:r>
            <w:r>
              <w:rPr>
                <w:noProof/>
                <w:webHidden/>
              </w:rPr>
              <w:fldChar w:fldCharType="begin"/>
            </w:r>
            <w:r>
              <w:rPr>
                <w:noProof/>
                <w:webHidden/>
              </w:rPr>
              <w:instrText xml:space="preserve"> PAGEREF _Toc227136505 \h </w:instrText>
            </w:r>
            <w:r>
              <w:rPr>
                <w:noProof/>
                <w:webHidden/>
              </w:rPr>
            </w:r>
            <w:r>
              <w:rPr>
                <w:noProof/>
                <w:webHidden/>
              </w:rPr>
              <w:fldChar w:fldCharType="separate"/>
            </w:r>
            <w:r>
              <w:rPr>
                <w:noProof/>
                <w:webHidden/>
              </w:rPr>
              <w:t>7</w:t>
            </w:r>
            <w:r>
              <w:rPr>
                <w:noProof/>
                <w:webHidden/>
              </w:rPr>
              <w:fldChar w:fldCharType="end"/>
            </w:r>
          </w:hyperlink>
        </w:p>
        <w:p w14:paraId="24A94D94" w14:textId="1061937E" w:rsidR="00524446" w:rsidRDefault="00524446">
          <w:pPr>
            <w:pStyle w:val="TOC2"/>
            <w:tabs>
              <w:tab w:val="right" w:leader="dot" w:pos="9350"/>
            </w:tabs>
            <w:rPr>
              <w:rFonts w:eastAsiaTheme="minorEastAsia"/>
              <w:noProof/>
              <w:color w:val="auto"/>
              <w:kern w:val="2"/>
              <w14:ligatures w14:val="standardContextual"/>
            </w:rPr>
          </w:pPr>
          <w:hyperlink w:anchor="_Toc227136506" w:history="1">
            <w:r w:rsidRPr="00CE06E7">
              <w:rPr>
                <w:rStyle w:val="Hyperlink"/>
                <w:noProof/>
              </w:rPr>
              <w:t>Resources for Continued Learning (slides 35-38)</w:t>
            </w:r>
            <w:r>
              <w:rPr>
                <w:noProof/>
                <w:webHidden/>
              </w:rPr>
              <w:tab/>
            </w:r>
            <w:r>
              <w:rPr>
                <w:noProof/>
                <w:webHidden/>
              </w:rPr>
              <w:fldChar w:fldCharType="begin"/>
            </w:r>
            <w:r>
              <w:rPr>
                <w:noProof/>
                <w:webHidden/>
              </w:rPr>
              <w:instrText xml:space="preserve"> PAGEREF _Toc227136506 \h </w:instrText>
            </w:r>
            <w:r>
              <w:rPr>
                <w:noProof/>
                <w:webHidden/>
              </w:rPr>
            </w:r>
            <w:r>
              <w:rPr>
                <w:noProof/>
                <w:webHidden/>
              </w:rPr>
              <w:fldChar w:fldCharType="separate"/>
            </w:r>
            <w:r>
              <w:rPr>
                <w:noProof/>
                <w:webHidden/>
              </w:rPr>
              <w:t>10</w:t>
            </w:r>
            <w:r>
              <w:rPr>
                <w:noProof/>
                <w:webHidden/>
              </w:rPr>
              <w:fldChar w:fldCharType="end"/>
            </w:r>
          </w:hyperlink>
        </w:p>
        <w:p w14:paraId="0E11FAD7" w14:textId="39918C42" w:rsidR="00524446" w:rsidRDefault="00524446">
          <w:pPr>
            <w:pStyle w:val="TOC2"/>
            <w:tabs>
              <w:tab w:val="right" w:leader="dot" w:pos="9350"/>
            </w:tabs>
            <w:rPr>
              <w:rFonts w:eastAsiaTheme="minorEastAsia"/>
              <w:noProof/>
              <w:color w:val="auto"/>
              <w:kern w:val="2"/>
              <w14:ligatures w14:val="standardContextual"/>
            </w:rPr>
          </w:pPr>
          <w:hyperlink w:anchor="_Toc227136507" w:history="1">
            <w:r w:rsidRPr="00CE06E7">
              <w:rPr>
                <w:rStyle w:val="Hyperlink"/>
                <w:noProof/>
              </w:rPr>
              <w:t>Recommended Citation</w:t>
            </w:r>
            <w:r>
              <w:rPr>
                <w:noProof/>
                <w:webHidden/>
              </w:rPr>
              <w:tab/>
            </w:r>
            <w:r>
              <w:rPr>
                <w:noProof/>
                <w:webHidden/>
              </w:rPr>
              <w:fldChar w:fldCharType="begin"/>
            </w:r>
            <w:r>
              <w:rPr>
                <w:noProof/>
                <w:webHidden/>
              </w:rPr>
              <w:instrText xml:space="preserve"> PAGEREF _Toc227136507 \h </w:instrText>
            </w:r>
            <w:r>
              <w:rPr>
                <w:noProof/>
                <w:webHidden/>
              </w:rPr>
            </w:r>
            <w:r>
              <w:rPr>
                <w:noProof/>
                <w:webHidden/>
              </w:rPr>
              <w:fldChar w:fldCharType="separate"/>
            </w:r>
            <w:r>
              <w:rPr>
                <w:noProof/>
                <w:webHidden/>
              </w:rPr>
              <w:t>11</w:t>
            </w:r>
            <w:r>
              <w:rPr>
                <w:noProof/>
                <w:webHidden/>
              </w:rPr>
              <w:fldChar w:fldCharType="end"/>
            </w:r>
          </w:hyperlink>
        </w:p>
        <w:p w14:paraId="0596023D" w14:textId="62D0B5F0" w:rsidR="00ED6D67" w:rsidRPr="00480A98" w:rsidRDefault="00480A98" w:rsidP="00FE39BB">
          <w:pPr>
            <w:rPr>
              <w:b/>
              <w:bCs/>
              <w:noProof/>
            </w:rPr>
          </w:pPr>
          <w:r>
            <w:fldChar w:fldCharType="end"/>
          </w:r>
        </w:p>
      </w:sdtContent>
    </w:sdt>
    <w:p w14:paraId="20FF339F" w14:textId="77777777" w:rsidR="00AF79B5" w:rsidRPr="001D05C3" w:rsidRDefault="00AF79B5" w:rsidP="00ED6D67">
      <w:pPr>
        <w:pStyle w:val="Heading2"/>
        <w:sectPr w:rsidR="00AF79B5" w:rsidRPr="001D05C3" w:rsidSect="007871C9">
          <w:headerReference w:type="default" r:id="rId17"/>
          <w:footerReference w:type="even" r:id="rId18"/>
          <w:footerReference w:type="default" r:id="rId19"/>
          <w:headerReference w:type="first" r:id="rId20"/>
          <w:footerReference w:type="first" r:id="rId21"/>
          <w:pgSz w:w="12240" w:h="15840"/>
          <w:pgMar w:top="1211" w:right="1440" w:bottom="1440" w:left="1440" w:header="0" w:footer="432" w:gutter="0"/>
          <w:pgNumType w:start="1"/>
          <w:cols w:space="720"/>
          <w:titlePg/>
          <w:docGrid w:linePitch="360"/>
        </w:sectPr>
      </w:pPr>
    </w:p>
    <w:p w14:paraId="696F8F2A" w14:textId="77777777" w:rsidR="00F4598F" w:rsidRDefault="00F4598F" w:rsidP="00F4598F">
      <w:pPr>
        <w:pStyle w:val="Heading2"/>
        <w:spacing w:before="0"/>
      </w:pPr>
      <w:bookmarkStart w:id="18" w:name="_Toc181631780"/>
      <w:bookmarkStart w:id="19" w:name="_Toc227074430"/>
      <w:bookmarkStart w:id="20" w:name="_Toc227136498"/>
      <w:bookmarkEnd w:id="14"/>
      <w:bookmarkEnd w:id="15"/>
      <w:bookmarkEnd w:id="16"/>
      <w:bookmarkEnd w:id="17"/>
      <w:r>
        <w:lastRenderedPageBreak/>
        <w:t>Background Information</w:t>
      </w:r>
      <w:bookmarkEnd w:id="19"/>
      <w:bookmarkEnd w:id="20"/>
    </w:p>
    <w:p w14:paraId="77D43FF5" w14:textId="77777777" w:rsidR="00F4598F" w:rsidRPr="00757ABC" w:rsidRDefault="00F4598F" w:rsidP="00F4598F">
      <w:pPr>
        <w:pStyle w:val="Heading3"/>
      </w:pPr>
      <w:bookmarkStart w:id="21" w:name="_Toc227074431"/>
      <w:r>
        <w:t>Session Overview</w:t>
      </w:r>
      <w:bookmarkEnd w:id="21"/>
    </w:p>
    <w:p w14:paraId="24A683F4" w14:textId="77777777" w:rsidR="00F4598F" w:rsidRDefault="00F4598F" w:rsidP="00F4598F">
      <w:r>
        <w:t xml:space="preserve">This session connects Accessible Educational Materials or AEM to the </w:t>
      </w:r>
      <w:hyperlink r:id="rId22">
        <w:r w:rsidRPr="7B879E67">
          <w:rPr>
            <w:rStyle w:val="Hyperlink"/>
          </w:rPr>
          <w:t>2024 Fed</w:t>
        </w:r>
        <w:bookmarkStart w:id="22" w:name="_Hlt227133053"/>
        <w:r w:rsidRPr="7B879E67">
          <w:rPr>
            <w:rStyle w:val="Hyperlink"/>
          </w:rPr>
          <w:t>e</w:t>
        </w:r>
        <w:bookmarkEnd w:id="22"/>
        <w:r w:rsidRPr="7B879E67">
          <w:rPr>
            <w:rStyle w:val="Hyperlink"/>
          </w:rPr>
          <w:t>ral Assistive Technology (AT) Guidance</w:t>
        </w:r>
      </w:hyperlink>
      <w:r>
        <w:t>, which outlines 28 myths and facts, followed by explanations grounded in the requirements of the</w:t>
      </w:r>
      <w:r w:rsidRPr="001A7C12">
        <w:t xml:space="preserve"> Individuals with Disabilities Education Act (IDEA)</w:t>
      </w:r>
      <w:r>
        <w:t xml:space="preserve">. The session establishes a foundation of shared definitions and background information. It then provides an overview of </w:t>
      </w:r>
      <w:hyperlink r:id="rId23">
        <w:r w:rsidRPr="009C35FD">
          <w:rPr>
            <w:rStyle w:val="Hyperlink"/>
          </w:rPr>
          <w:t>More to the Myths and Facts: Addressing Accessible Educational Materials in the 2024 Assistive Technology Guidanc</w:t>
        </w:r>
        <w:r w:rsidRPr="004F61EC">
          <w:rPr>
            <w:rStyle w:val="Hyperlink"/>
            <w:i/>
            <w:iCs/>
          </w:rPr>
          <w:t>e</w:t>
        </w:r>
      </w:hyperlink>
      <w:r>
        <w:t xml:space="preserve">. This is followed by a myth-busting activity related to the </w:t>
      </w:r>
      <w:r w:rsidRPr="00B83E58">
        <w:t xml:space="preserve">AEM “tie-ins” for myths 1, 4, 5, 8, 10, 19, and 23–26 from </w:t>
      </w:r>
      <w:r w:rsidRPr="009C35FD">
        <w:t>More to the Myths and Facts</w:t>
      </w:r>
      <w:r>
        <w:t xml:space="preserve"> with the goal of clarifying</w:t>
      </w:r>
      <w:r w:rsidRPr="00B83E58">
        <w:t xml:space="preserve"> how AEM should be considered alongside AT in practice. </w:t>
      </w:r>
      <w:r>
        <w:t>The session ends with shared resources for continued learning.</w:t>
      </w:r>
    </w:p>
    <w:p w14:paraId="2320FB7D" w14:textId="38122FE2" w:rsidR="00F4598F" w:rsidRDefault="00F4598F" w:rsidP="00F4598F">
      <w:r>
        <w:t xml:space="preserve">The estimated training time is two hours, which can be divided into parts. Alternatively, trainers can adapt the content to fit a </w:t>
      </w:r>
      <w:r w:rsidR="0000408A">
        <w:t>reduced</w:t>
      </w:r>
      <w:r>
        <w:t xml:space="preserve"> amount of time.</w:t>
      </w:r>
    </w:p>
    <w:p w14:paraId="435CA7B4" w14:textId="77777777" w:rsidR="00F4598F" w:rsidRPr="00057408" w:rsidRDefault="00F4598F" w:rsidP="00F4598F">
      <w:pPr>
        <w:pStyle w:val="Heading3"/>
      </w:pPr>
      <w:bookmarkStart w:id="23" w:name="_Toc227074432"/>
      <w:r>
        <w:t>General Information</w:t>
      </w:r>
      <w:bookmarkEnd w:id="23"/>
    </w:p>
    <w:p w14:paraId="549A6E32" w14:textId="77777777" w:rsidR="00F4598F" w:rsidRPr="005230EC" w:rsidRDefault="00F4598F" w:rsidP="00C16313">
      <w:pPr>
        <w:pStyle w:val="ListParagraph"/>
      </w:pPr>
      <w:r>
        <w:t>Accessible Educational Materials (AEM) can be broken down into two types: Accessible Digital Educational Materials and Accessible Formats.</w:t>
      </w:r>
    </w:p>
    <w:p w14:paraId="43824AC8" w14:textId="77777777" w:rsidR="00F4598F" w:rsidRDefault="00F4598F" w:rsidP="00C16313">
      <w:pPr>
        <w:pStyle w:val="ListParagraph"/>
      </w:pPr>
      <w:r>
        <w:t>Providing accessible content is everyone’s responsibility; this is not a special education initiative.</w:t>
      </w:r>
    </w:p>
    <w:p w14:paraId="787BB398" w14:textId="77777777" w:rsidR="00F4598F" w:rsidRDefault="00F4598F" w:rsidP="00C16313">
      <w:pPr>
        <w:pStyle w:val="ListParagraph"/>
      </w:pPr>
      <w:r>
        <w:t>Accessibility should be embedded throughout a system from role-specific professional development and job responsibilities to budgets, procurement, and workflows.</w:t>
      </w:r>
    </w:p>
    <w:p w14:paraId="3CA5BF5C" w14:textId="77777777" w:rsidR="00F4598F" w:rsidRPr="00634A27" w:rsidRDefault="00F4598F" w:rsidP="00F4598F">
      <w:pPr>
        <w:pStyle w:val="Heading3"/>
      </w:pPr>
      <w:bookmarkStart w:id="24" w:name="_Toc227074433"/>
      <w:r>
        <w:t>Title II of the Americans with Disabilities Act (ADA)</w:t>
      </w:r>
      <w:bookmarkEnd w:id="24"/>
    </w:p>
    <w:p w14:paraId="3DAB110D" w14:textId="72C722BD" w:rsidR="00F4598F" w:rsidRPr="007E5B37" w:rsidRDefault="00F4598F" w:rsidP="007E5B37">
      <w:pPr>
        <w:pStyle w:val="ListParagraph"/>
        <w:numPr>
          <w:ilvl w:val="0"/>
          <w:numId w:val="18"/>
        </w:numPr>
      </w:pPr>
      <w:r w:rsidRPr="007E5B37">
        <w:t xml:space="preserve">While the content of this training session is focused on the provision of accessible formats under IDEA, it is important to address the distinctions between this law and ADA Title II. The updated final rule of Title II of the ADA set into place new requirements for ensuring that web content and mobile apps are accessible to individuals with disabilities. This new ruling applies to state and local educational agencies (SEA &amp; LEAs). It requires that digital materials conform to the Web Content Accessibility Guidelines (WCAG) 2.1 Level AA. Conformance deadlines were set </w:t>
      </w:r>
      <w:r w:rsidRPr="007E5B37">
        <w:lastRenderedPageBreak/>
        <w:t>into place based on the census population served by SEAs and LEAs. Larger agencies serving 50,000 or more must conform by April 24, 2026</w:t>
      </w:r>
      <w:r w:rsidR="00572094" w:rsidRPr="007E5B37">
        <w:t>,</w:t>
      </w:r>
      <w:r w:rsidRPr="007E5B37">
        <w:t xml:space="preserve"> and agencies serving less than 50,000, must conform by April 26, 2027. Read more in the </w:t>
      </w:r>
      <w:hyperlink r:id="rId24">
        <w:r w:rsidRPr="007E5B37">
          <w:rPr>
            <w:rStyle w:val="Hyperlink"/>
          </w:rPr>
          <w:t>ADA Fact Sheet</w:t>
        </w:r>
      </w:hyperlink>
      <w:r w:rsidRPr="007E5B37">
        <w:t xml:space="preserve"> and </w:t>
      </w:r>
      <w:hyperlink r:id="rId25">
        <w:r w:rsidRPr="007E5B37">
          <w:rPr>
            <w:rStyle w:val="Hyperlink"/>
          </w:rPr>
          <w:t>Primer on Title II</w:t>
        </w:r>
      </w:hyperlink>
      <w:r w:rsidRPr="007E5B37">
        <w:t>.</w:t>
      </w:r>
    </w:p>
    <w:p w14:paraId="66B9F763" w14:textId="19272AC3" w:rsidR="00F4598F" w:rsidRPr="007E5B37" w:rsidRDefault="00F4598F" w:rsidP="007E5B37">
      <w:pPr>
        <w:pStyle w:val="ListParagraph"/>
        <w:numPr>
          <w:ilvl w:val="0"/>
          <w:numId w:val="18"/>
        </w:numPr>
      </w:pPr>
      <w:r w:rsidRPr="007E5B37">
        <w:t>The types of materials covered under Title II include anything digital such as</w:t>
      </w:r>
      <w:r w:rsidR="00572094" w:rsidRPr="007E5B37">
        <w:t>,</w:t>
      </w:r>
      <w:r w:rsidRPr="007E5B37">
        <w:t xml:space="preserve"> websites, social media posts, online learning platforms, apps, videos, slide decks, and materials teachers create or curate.</w:t>
      </w:r>
    </w:p>
    <w:p w14:paraId="07547EBD" w14:textId="77777777" w:rsidR="00F4598F" w:rsidRDefault="00F4598F" w:rsidP="00F4598F">
      <w:pPr>
        <w:pStyle w:val="Heading3"/>
      </w:pPr>
      <w:bookmarkStart w:id="25" w:name="_Toc227074434"/>
      <w:r>
        <w:t>Individuals with Disabilities Education Act (IDEA)</w:t>
      </w:r>
      <w:bookmarkEnd w:id="25"/>
    </w:p>
    <w:p w14:paraId="4F8ED01B" w14:textId="77777777" w:rsidR="00F4598F" w:rsidRPr="009C35FD" w:rsidRDefault="00F4598F" w:rsidP="009C35FD">
      <w:r w:rsidRPr="009C35FD">
        <w:t>The IDEA requires state and local educational agencies (SEAs and LEAs) to provide accessible formats of print instructional materials to students with disabilities when needed in a timely manner. Timely manner is defined by the SEA and most commonly means “at the same time students without disabilities receive instructional materials.”  A student’s IEP team determines whether accessible formats and what types are needed to access the curriculum and related core materials.</w:t>
      </w:r>
    </w:p>
    <w:p w14:paraId="34D28589" w14:textId="77777777" w:rsidR="00F4598F" w:rsidRDefault="00F4598F" w:rsidP="00F4598F">
      <w:pPr>
        <w:pStyle w:val="Heading2"/>
      </w:pPr>
      <w:bookmarkStart w:id="26" w:name="_Toc227074435"/>
      <w:bookmarkStart w:id="27" w:name="_Toc227136499"/>
      <w:r>
        <w:t>Session Preparation</w:t>
      </w:r>
      <w:bookmarkEnd w:id="26"/>
      <w:bookmarkEnd w:id="27"/>
    </w:p>
    <w:p w14:paraId="0B599790" w14:textId="77777777" w:rsidR="00F4598F" w:rsidRPr="004A5F59" w:rsidRDefault="00F4598F" w:rsidP="004A5F59">
      <w:pPr>
        <w:pStyle w:val="ListParagraph"/>
        <w:numPr>
          <w:ilvl w:val="0"/>
          <w:numId w:val="19"/>
        </w:numPr>
      </w:pPr>
      <w:r w:rsidRPr="004A5F59">
        <w:t>Review the information for each slide in this document. Be ready to share links in the chat if presenting virtually.</w:t>
      </w:r>
    </w:p>
    <w:p w14:paraId="07182B09" w14:textId="77777777" w:rsidR="00F4598F" w:rsidRPr="004A5F59" w:rsidRDefault="00F4598F" w:rsidP="004A5F59">
      <w:pPr>
        <w:pStyle w:val="ListParagraph"/>
        <w:numPr>
          <w:ilvl w:val="0"/>
          <w:numId w:val="19"/>
        </w:numPr>
      </w:pPr>
      <w:r w:rsidRPr="004A5F59">
        <w:t xml:space="preserve">Consider converting the myth-busting activity into an anonymous interactive live poll using a tool like </w:t>
      </w:r>
      <w:hyperlink r:id="rId26" w:history="1">
        <w:proofErr w:type="spellStart"/>
        <w:r w:rsidRPr="004A5F59">
          <w:rPr>
            <w:rStyle w:val="Hyperlink"/>
          </w:rPr>
          <w:t>Mentimeter</w:t>
        </w:r>
        <w:proofErr w:type="spellEnd"/>
      </w:hyperlink>
      <w:r w:rsidRPr="004A5F59">
        <w:t xml:space="preserve"> or built-in polling features in virtual meeting platforms.</w:t>
      </w:r>
    </w:p>
    <w:p w14:paraId="4537A2D4" w14:textId="77777777" w:rsidR="00F4598F" w:rsidRPr="00EA4772" w:rsidRDefault="00F4598F" w:rsidP="00F4598F">
      <w:pPr>
        <w:pStyle w:val="Heading2"/>
      </w:pPr>
      <w:bookmarkStart w:id="28" w:name="_Toc227074436"/>
      <w:bookmarkStart w:id="29" w:name="_Toc227136500"/>
      <w:r w:rsidRPr="00BF0079">
        <w:t>Opening</w:t>
      </w:r>
      <w:r w:rsidRPr="00EA4772">
        <w:t xml:space="preserve"> Slides (Slides </w:t>
      </w:r>
      <w:r>
        <w:t>1</w:t>
      </w:r>
      <w:r w:rsidRPr="00EA4772">
        <w:t>-3)</w:t>
      </w:r>
      <w:bookmarkEnd w:id="28"/>
      <w:bookmarkEnd w:id="29"/>
    </w:p>
    <w:p w14:paraId="026E7F74" w14:textId="77777777" w:rsidR="00F4598F" w:rsidRPr="002F2736" w:rsidRDefault="00F4598F" w:rsidP="00F4598F">
      <w:pPr>
        <w:pStyle w:val="Heading3"/>
      </w:pPr>
      <w:bookmarkStart w:id="30" w:name="_Toc227074437"/>
      <w:r>
        <w:t>Slide Information</w:t>
      </w:r>
      <w:bookmarkEnd w:id="30"/>
    </w:p>
    <w:p w14:paraId="641C2FD9" w14:textId="5C98C6A3" w:rsidR="00F4598F" w:rsidRPr="004A5F59" w:rsidRDefault="00F4598F" w:rsidP="004A5F59">
      <w:pPr>
        <w:pStyle w:val="ListParagraph"/>
        <w:numPr>
          <w:ilvl w:val="0"/>
          <w:numId w:val="20"/>
        </w:numPr>
      </w:pPr>
      <w:r w:rsidRPr="004A5F59">
        <w:rPr>
          <w:b/>
          <w:bCs/>
        </w:rPr>
        <w:t>Slide 1:</w:t>
      </w:r>
      <w:r w:rsidRPr="004A5F59">
        <w:t xml:space="preserve"> Present the title slide, indicating that this session connects Accessible Educational Materials or AEM to the </w:t>
      </w:r>
      <w:hyperlink r:id="rId27" w:history="1">
        <w:r w:rsidRPr="004A5F59">
          <w:rPr>
            <w:rStyle w:val="Hyperlink"/>
          </w:rPr>
          <w:t>2024 Assistive Technology (AT) Guidance</w:t>
        </w:r>
      </w:hyperlink>
      <w:r w:rsidRPr="004A5F59">
        <w:t xml:space="preserve"> from OSEP, which outlines 28 myths and facts, followed by explanations grounded in the requirements of the Individuals with Disabilities Education Act (IDEA).</w:t>
      </w:r>
    </w:p>
    <w:p w14:paraId="28648635" w14:textId="5A1E10BF" w:rsidR="00F4598F" w:rsidRPr="004A5F59" w:rsidRDefault="00F4598F" w:rsidP="004A5F59">
      <w:pPr>
        <w:pStyle w:val="ListParagraph"/>
        <w:numPr>
          <w:ilvl w:val="0"/>
          <w:numId w:val="20"/>
        </w:numPr>
      </w:pPr>
      <w:r w:rsidRPr="004A5F59">
        <w:rPr>
          <w:b/>
          <w:bCs/>
        </w:rPr>
        <w:t>Slide 2:</w:t>
      </w:r>
      <w:r w:rsidRPr="004A5F59">
        <w:t xml:space="preserve"> Review who NCADEMI is as the creator of this content: the </w:t>
      </w:r>
      <w:hyperlink r:id="rId28" w:history="1">
        <w:r w:rsidRPr="004A5F59">
          <w:rPr>
            <w:rStyle w:val="Hyperlink"/>
          </w:rPr>
          <w:t>National Center on Accessible Digital Educational Materials &amp; Instruction</w:t>
        </w:r>
      </w:hyperlink>
      <w:r w:rsidRPr="004A5F59">
        <w:t xml:space="preserve"> (NCADEMI, pronounced, “n-</w:t>
      </w:r>
      <w:proofErr w:type="spellStart"/>
      <w:r w:rsidRPr="004A5F59">
        <w:t>cademy</w:t>
      </w:r>
      <w:proofErr w:type="spellEnd"/>
      <w:r w:rsidRPr="004A5F59">
        <w:t xml:space="preserve">”) is an Office of Special Education Programs or OSEP-funded technical </w:t>
      </w:r>
      <w:r w:rsidRPr="004A5F59">
        <w:lastRenderedPageBreak/>
        <w:t>assistance center focused on system-level improvement of accessible digital materials and instruction. The center supports state and local educational agencies (SEAs and LEAs) in delivering timely, accessible digital materials</w:t>
      </w:r>
      <w:r w:rsidR="005A4681">
        <w:t>, there</w:t>
      </w:r>
      <w:r w:rsidR="00327D2D">
        <w:t xml:space="preserve">by </w:t>
      </w:r>
      <w:r w:rsidRPr="004A5F59">
        <w:t>removing barriers to learning for students with disabilities from preschool through graduation. Learn more at ncademi.org or by scanning the QR code (please share link in the chat if presenting virtually).</w:t>
      </w:r>
    </w:p>
    <w:p w14:paraId="337D58BA" w14:textId="77777777" w:rsidR="00F4598F" w:rsidRPr="004A5F59" w:rsidRDefault="00F4598F" w:rsidP="004A5F59">
      <w:pPr>
        <w:pStyle w:val="ListParagraph"/>
        <w:numPr>
          <w:ilvl w:val="0"/>
          <w:numId w:val="20"/>
        </w:numPr>
      </w:pPr>
      <w:r w:rsidRPr="004A5F59">
        <w:rPr>
          <w:b/>
          <w:bCs/>
        </w:rPr>
        <w:t>Slide 3 (animated):</w:t>
      </w:r>
      <w:r w:rsidRPr="004A5F59">
        <w:t xml:space="preserve"> Provide an overview of the session to set expectations. This slide is animated from left to right, presenting the order of session activities. The session begins by establishing a foundation through shared definitions and background information. Next, trainers will provide an overview of </w:t>
      </w:r>
      <w:hyperlink r:id="rId29" w:history="1">
        <w:r w:rsidRPr="004A5F59">
          <w:rPr>
            <w:rStyle w:val="Hyperlink"/>
          </w:rPr>
          <w:t>More to the Myths and Facts: Addressing Accessible Educational Materials in the 2024 Assistive Technology Guidance</w:t>
        </w:r>
      </w:hyperlink>
      <w:r w:rsidRPr="004A5F59">
        <w:t>. This is followed by a myth-busting activity related to the AEM “tie-ins” for myths 1, 4, 5, 8, 10, 19, and 23–26 from More to the Myths and Facts with the goal of clarifying how AEM should be considered alongside AT in practice. The session wraps up with shared resources for continued learning.</w:t>
      </w:r>
    </w:p>
    <w:p w14:paraId="6AC19742" w14:textId="77777777" w:rsidR="00F4598F" w:rsidRPr="00DC04DD" w:rsidRDefault="00F4598F" w:rsidP="00F4598F">
      <w:pPr>
        <w:pStyle w:val="Heading3"/>
      </w:pPr>
      <w:bookmarkStart w:id="31" w:name="_Toc227074438"/>
      <w:r w:rsidRPr="00DC04DD">
        <w:t>Key Message</w:t>
      </w:r>
      <w:r>
        <w:t>s</w:t>
      </w:r>
      <w:r w:rsidRPr="00DC04DD">
        <w:t xml:space="preserve"> to Emphasize</w:t>
      </w:r>
      <w:bookmarkEnd w:id="31"/>
    </w:p>
    <w:p w14:paraId="1FD4A7F4" w14:textId="77777777" w:rsidR="00F4598F" w:rsidRDefault="00F4598F" w:rsidP="005C3188">
      <w:pPr>
        <w:pStyle w:val="ListParagraph"/>
        <w:numPr>
          <w:ilvl w:val="0"/>
          <w:numId w:val="21"/>
        </w:numPr>
      </w:pPr>
      <w:r w:rsidRPr="00DC04DD">
        <w:t>This training is about clarifying misconceptions, not introducing entirely new requirements.</w:t>
      </w:r>
    </w:p>
    <w:p w14:paraId="3C3C0179" w14:textId="77777777" w:rsidR="00F4598F" w:rsidRDefault="00F4598F" w:rsidP="005C3188">
      <w:pPr>
        <w:pStyle w:val="ListParagraph"/>
        <w:numPr>
          <w:ilvl w:val="0"/>
          <w:numId w:val="21"/>
        </w:numPr>
      </w:pPr>
      <w:r w:rsidRPr="006B07F6">
        <w:t xml:space="preserve">Position AEM </w:t>
      </w:r>
      <w:proofErr w:type="gramStart"/>
      <w:r w:rsidRPr="006B07F6">
        <w:t>as</w:t>
      </w:r>
      <w:proofErr w:type="gramEnd"/>
      <w:r w:rsidRPr="006B07F6">
        <w:t xml:space="preserve"> complementary to AT, since </w:t>
      </w:r>
      <w:r>
        <w:t>AT users</w:t>
      </w:r>
      <w:r w:rsidRPr="006B07F6">
        <w:t xml:space="preserve"> cannot </w:t>
      </w:r>
      <w:r>
        <w:t xml:space="preserve">consistently </w:t>
      </w:r>
      <w:r w:rsidRPr="006B07F6">
        <w:t xml:space="preserve">access or interact with </w:t>
      </w:r>
      <w:r>
        <w:t>materials that aren’t</w:t>
      </w:r>
      <w:r w:rsidRPr="006B07F6">
        <w:t xml:space="preserve"> already accessible.</w:t>
      </w:r>
    </w:p>
    <w:p w14:paraId="651163E2" w14:textId="77777777" w:rsidR="00F4598F" w:rsidRDefault="00F4598F" w:rsidP="00F4598F">
      <w:pPr>
        <w:pStyle w:val="Heading2"/>
      </w:pPr>
      <w:bookmarkStart w:id="32" w:name="_Toc227074439"/>
      <w:bookmarkStart w:id="33" w:name="_Toc227136501"/>
      <w:r>
        <w:t>Definitions &amp; Background (Slides 4-9)</w:t>
      </w:r>
      <w:bookmarkEnd w:id="32"/>
      <w:bookmarkEnd w:id="33"/>
      <w:r>
        <w:t xml:space="preserve"> </w:t>
      </w:r>
    </w:p>
    <w:p w14:paraId="6731C8A4" w14:textId="77777777" w:rsidR="00F4598F" w:rsidRDefault="00F4598F" w:rsidP="00F4598F">
      <w:pPr>
        <w:pStyle w:val="Heading3"/>
      </w:pPr>
      <w:bookmarkStart w:id="34" w:name="_Toc227074440"/>
      <w:r>
        <w:t>Slide Information</w:t>
      </w:r>
      <w:bookmarkEnd w:id="34"/>
    </w:p>
    <w:p w14:paraId="7BEB18DC" w14:textId="77777777" w:rsidR="00F4598F" w:rsidRDefault="00F4598F" w:rsidP="002A4350">
      <w:pPr>
        <w:pStyle w:val="ListParagraph"/>
        <w:numPr>
          <w:ilvl w:val="0"/>
          <w:numId w:val="22"/>
        </w:numPr>
      </w:pPr>
      <w:r w:rsidRPr="006A76EC">
        <w:rPr>
          <w:b/>
          <w:bCs/>
        </w:rPr>
        <w:t>Slide 4:</w:t>
      </w:r>
      <w:r>
        <w:t xml:space="preserve"> It’s time to kick off the content of the session by establishing a shared understanding of key definitions and background information.</w:t>
      </w:r>
    </w:p>
    <w:p w14:paraId="0525B599" w14:textId="77777777" w:rsidR="00F4598F" w:rsidRDefault="00F4598F" w:rsidP="002A4350">
      <w:pPr>
        <w:pStyle w:val="ListParagraph"/>
        <w:numPr>
          <w:ilvl w:val="0"/>
          <w:numId w:val="22"/>
        </w:numPr>
      </w:pPr>
      <w:r w:rsidRPr="00033909">
        <w:rPr>
          <w:b/>
          <w:bCs/>
        </w:rPr>
        <w:t>Slide 5</w:t>
      </w:r>
      <w:r>
        <w:rPr>
          <w:b/>
          <w:bCs/>
        </w:rPr>
        <w:t xml:space="preserve"> (animated)</w:t>
      </w:r>
      <w:r w:rsidRPr="00033909">
        <w:rPr>
          <w:b/>
          <w:bCs/>
        </w:rPr>
        <w:t>:</w:t>
      </w:r>
      <w:r>
        <w:t xml:space="preserve"> Share the definition of “accessible” as defined by the Departments of Justice and Education. This slide is revealed on a click line by line, so that the bold words can be emphasized in each phrase.</w:t>
      </w:r>
    </w:p>
    <w:p w14:paraId="12B463DC" w14:textId="77777777" w:rsidR="00F4598F" w:rsidRDefault="00F4598F" w:rsidP="002A4350">
      <w:pPr>
        <w:pStyle w:val="ListParagraph"/>
        <w:numPr>
          <w:ilvl w:val="0"/>
          <w:numId w:val="22"/>
        </w:numPr>
      </w:pPr>
      <w:r w:rsidRPr="00CC21D8">
        <w:rPr>
          <w:b/>
          <w:bCs/>
        </w:rPr>
        <w:t>Slide 6:</w:t>
      </w:r>
      <w:r>
        <w:t xml:space="preserve"> Proceed to the definition of Accessible Education Materials or AEM as defined by the U.S. Department of Education, emphasizing the bold words/phrases. The definition could be restated as accessible print and digital educational </w:t>
      </w:r>
      <w:r>
        <w:lastRenderedPageBreak/>
        <w:t>materials that increase access to the general education curriculum for students with disabilities.</w:t>
      </w:r>
    </w:p>
    <w:p w14:paraId="2D67A805" w14:textId="77777777" w:rsidR="00F4598F" w:rsidRDefault="00F4598F" w:rsidP="002A4350">
      <w:pPr>
        <w:pStyle w:val="ListParagraph"/>
        <w:numPr>
          <w:ilvl w:val="0"/>
          <w:numId w:val="22"/>
        </w:numPr>
      </w:pPr>
      <w:r w:rsidRPr="00936973">
        <w:rPr>
          <w:b/>
        </w:rPr>
        <w:t>Slide 7 (animated):</w:t>
      </w:r>
      <w:r>
        <w:t xml:space="preserve"> Reiterate that because AEM must be provided to students with disabilities, states and school districts have two pathways for providing accessible materials to students. </w:t>
      </w:r>
      <w:r>
        <w:br/>
      </w:r>
      <w:r>
        <w:br/>
        <w:t xml:space="preserve">Click to reveal the bottom left box and state that </w:t>
      </w:r>
      <w:r w:rsidRPr="00C409F7">
        <w:t xml:space="preserve">digital materials </w:t>
      </w:r>
      <w:r>
        <w:t>can be p</w:t>
      </w:r>
      <w:r w:rsidRPr="00C409F7">
        <w:t>roduced to be accessible proactively from the beginning</w:t>
      </w:r>
      <w:r>
        <w:t>.</w:t>
      </w:r>
      <w:r>
        <w:br/>
      </w:r>
      <w:r>
        <w:br/>
        <w:t>Click to reveal the bottom right box and state that the second pathway is to provide materials rendered in accessible formats such as braille, audio, and large print.</w:t>
      </w:r>
    </w:p>
    <w:p w14:paraId="7CA58B06" w14:textId="77777777" w:rsidR="00F4598F" w:rsidRDefault="00F4598F" w:rsidP="002A4350">
      <w:pPr>
        <w:pStyle w:val="ListParagraph"/>
        <w:numPr>
          <w:ilvl w:val="0"/>
          <w:numId w:val="22"/>
        </w:numPr>
      </w:pPr>
      <w:r w:rsidRPr="00A374F3">
        <w:rPr>
          <w:b/>
        </w:rPr>
        <w:t>Slide 8 (animated):</w:t>
      </w:r>
      <w:r>
        <w:t xml:space="preserve"> Now, it’s time to talk more specifically about the two different types of AEM; the first being Accessible Digital Educational Materials. Present the questions, “What are they?” and “What materials are included?” Click to reveal that Accessible Digital Educational Materials are materials </w:t>
      </w:r>
      <w:r w:rsidRPr="003E71B1">
        <w:rPr>
          <w:b/>
        </w:rPr>
        <w:t>designed to be accessible from the beginning</w:t>
      </w:r>
      <w:r w:rsidRPr="009B60BD">
        <w:t xml:space="preserve"> for students</w:t>
      </w:r>
      <w:r>
        <w:t xml:space="preserve"> </w:t>
      </w:r>
      <w:r w:rsidRPr="009B60BD">
        <w:t>with and without disabilities.</w:t>
      </w:r>
      <w:r>
        <w:t xml:space="preserve"> So, this impacts </w:t>
      </w:r>
      <w:r w:rsidRPr="002A4350">
        <w:t xml:space="preserve">all students </w:t>
      </w:r>
      <w:r w:rsidRPr="00E65BF9">
        <w:t xml:space="preserve">and their families, staff, and the community served. </w:t>
      </w:r>
      <w:r w:rsidRPr="00E65BF9">
        <w:br/>
      </w:r>
      <w:r>
        <w:br/>
        <w:t>Then address the types of materials included and c</w:t>
      </w:r>
      <w:r w:rsidRPr="00720223">
        <w:t>lick</w:t>
      </w:r>
      <w:r>
        <w:t xml:space="preserve"> to reveal that Accessible Digital Educational Materials include w</w:t>
      </w:r>
      <w:r w:rsidRPr="00E65BF9">
        <w:t>eb content, apps, and digital materials developed by following the Web Content Accessibility Guidelines (WCAG)</w:t>
      </w:r>
      <w:r>
        <w:t xml:space="preserve"> version 2.1 Level AA at a minimum. </w:t>
      </w:r>
    </w:p>
    <w:p w14:paraId="75D362C2" w14:textId="537F2478" w:rsidR="00F4598F" w:rsidRPr="0075592E" w:rsidRDefault="00F4598F" w:rsidP="002A4350">
      <w:pPr>
        <w:pStyle w:val="ListParagraph"/>
        <w:numPr>
          <w:ilvl w:val="0"/>
          <w:numId w:val="22"/>
        </w:numPr>
      </w:pPr>
      <w:r w:rsidRPr="00F77C45">
        <w:rPr>
          <w:b/>
        </w:rPr>
        <w:t>Slide 9 (animated):</w:t>
      </w:r>
      <w:r>
        <w:t xml:space="preserve"> Now, you’ll compare how </w:t>
      </w:r>
      <w:r w:rsidRPr="00110E33">
        <w:t>Accessible Digital Educational Materials</w:t>
      </w:r>
      <w:r>
        <w:t xml:space="preserve"> differ from Accessible Formats. Click to reveal that these materials are </w:t>
      </w:r>
      <w:r w:rsidRPr="003E71B1">
        <w:rPr>
          <w:b/>
        </w:rPr>
        <w:t>provided as an accommodation</w:t>
      </w:r>
      <w:r w:rsidRPr="002A4350">
        <w:t xml:space="preserve"> for a student with a disability</w:t>
      </w:r>
      <w:r w:rsidRPr="00430CEC">
        <w:t xml:space="preserve"> who cannot use the original format of the educational material.</w:t>
      </w:r>
      <w:r>
        <w:t xml:space="preserve"> Accessible formats do not change the content; they simply change how the content is formatted to ensure students with disabilities gain access.</w:t>
      </w:r>
      <w:r>
        <w:br/>
      </w:r>
      <w:r>
        <w:br/>
        <w:t xml:space="preserve">Then present the examples of accessible </w:t>
      </w:r>
      <w:r w:rsidRPr="002A4350">
        <w:t>format</w:t>
      </w:r>
      <w:r>
        <w:t xml:space="preserve"> types, which include: (click to reveal all at once) b</w:t>
      </w:r>
      <w:r w:rsidRPr="0075592E">
        <w:t>raille</w:t>
      </w:r>
      <w:r>
        <w:t>, l</w:t>
      </w:r>
      <w:r w:rsidRPr="0075592E">
        <w:t xml:space="preserve">arge </w:t>
      </w:r>
      <w:r>
        <w:t>p</w:t>
      </w:r>
      <w:r w:rsidRPr="0075592E">
        <w:t>rint</w:t>
      </w:r>
      <w:r>
        <w:t>, s</w:t>
      </w:r>
      <w:r w:rsidRPr="0075592E">
        <w:t>tructured digital text</w:t>
      </w:r>
      <w:r>
        <w:t>, a</w:t>
      </w:r>
      <w:r w:rsidRPr="0075592E">
        <w:t>udio</w:t>
      </w:r>
      <w:r>
        <w:t>, and t</w:t>
      </w:r>
      <w:r w:rsidRPr="0075592E">
        <w:t xml:space="preserve">actile </w:t>
      </w:r>
      <w:r>
        <w:t>g</w:t>
      </w:r>
      <w:r w:rsidRPr="0075592E">
        <w:t>raphics</w:t>
      </w:r>
      <w:r>
        <w:t xml:space="preserve">. One or more accessible formats may be needed by an individual student depending upon the content and tasks to be completed. It’s also important to note that accessible formats extend beyond braille and large print. For example, structured digital text is a common accessible format used by students with learning disabilities like dyslexia. </w:t>
      </w:r>
    </w:p>
    <w:p w14:paraId="498096CD" w14:textId="77777777" w:rsidR="00F4598F" w:rsidRPr="004A50E3" w:rsidRDefault="00F4598F" w:rsidP="00F4598F">
      <w:pPr>
        <w:pStyle w:val="Heading3"/>
      </w:pPr>
      <w:bookmarkStart w:id="35" w:name="_Toc227074441"/>
      <w:r w:rsidRPr="004A50E3">
        <w:lastRenderedPageBreak/>
        <w:t>Key Message</w:t>
      </w:r>
      <w:r>
        <w:t>s</w:t>
      </w:r>
      <w:r w:rsidRPr="004A50E3">
        <w:t xml:space="preserve"> to Emphasize</w:t>
      </w:r>
      <w:bookmarkEnd w:id="35"/>
    </w:p>
    <w:p w14:paraId="652606B8" w14:textId="5B4A9C86" w:rsidR="00F4598F" w:rsidRPr="004A50E3" w:rsidRDefault="00F4598F" w:rsidP="000813C2">
      <w:pPr>
        <w:pStyle w:val="ListParagraph"/>
        <w:numPr>
          <w:ilvl w:val="0"/>
          <w:numId w:val="24"/>
        </w:numPr>
      </w:pPr>
      <w:r w:rsidRPr="004A50E3">
        <w:t xml:space="preserve">Accessibility is </w:t>
      </w:r>
      <w:r w:rsidRPr="000813C2">
        <w:t>not just compliance</w:t>
      </w:r>
      <w:r>
        <w:t xml:space="preserve">; </w:t>
      </w:r>
      <w:r w:rsidRPr="004A50E3">
        <w:t xml:space="preserve">it’s about </w:t>
      </w:r>
      <w:r w:rsidRPr="000813C2">
        <w:t>providing equal opportunity and experience</w:t>
      </w:r>
      <w:r w:rsidRPr="004A50E3">
        <w:t>.</w:t>
      </w:r>
    </w:p>
    <w:p w14:paraId="7EDCAF49" w14:textId="5863AED3" w:rsidR="00F4598F" w:rsidRDefault="00F4598F" w:rsidP="000813C2">
      <w:pPr>
        <w:pStyle w:val="ListParagraph"/>
        <w:numPr>
          <w:ilvl w:val="0"/>
          <w:numId w:val="24"/>
        </w:numPr>
      </w:pPr>
      <w:r>
        <w:t xml:space="preserve">Because special educators are familiar with accommodations thinking under IDEA, it’s important to highlight the need to </w:t>
      </w:r>
      <w:r w:rsidRPr="005838ED">
        <w:rPr>
          <w:b/>
        </w:rPr>
        <w:t>expand to proactive accessibility</w:t>
      </w:r>
      <w:r>
        <w:t>, which is everyone’s responsibility.</w:t>
      </w:r>
    </w:p>
    <w:p w14:paraId="733D79AE" w14:textId="77777777" w:rsidR="00F4598F" w:rsidRDefault="00F4598F" w:rsidP="00F4598F">
      <w:pPr>
        <w:pStyle w:val="Heading2"/>
      </w:pPr>
      <w:bookmarkStart w:id="36" w:name="_Toc227074442"/>
      <w:bookmarkStart w:id="37" w:name="_Toc227136502"/>
      <w:r>
        <w:t>Related Laws (Slides 10-13)</w:t>
      </w:r>
      <w:bookmarkEnd w:id="36"/>
      <w:bookmarkEnd w:id="37"/>
    </w:p>
    <w:p w14:paraId="1871F349" w14:textId="77777777" w:rsidR="00F4598F" w:rsidRDefault="00F4598F" w:rsidP="00F4598F">
      <w:pPr>
        <w:pStyle w:val="Heading3"/>
      </w:pPr>
      <w:bookmarkStart w:id="38" w:name="_Toc227074443"/>
      <w:r>
        <w:t>Slide Information</w:t>
      </w:r>
      <w:bookmarkEnd w:id="38"/>
    </w:p>
    <w:p w14:paraId="668F00B9" w14:textId="77777777" w:rsidR="00F4598F" w:rsidRDefault="00F4598F" w:rsidP="00C16313">
      <w:pPr>
        <w:pStyle w:val="ListParagraph"/>
        <w:numPr>
          <w:ilvl w:val="0"/>
          <w:numId w:val="25"/>
        </w:numPr>
      </w:pPr>
      <w:r w:rsidRPr="00A4370F">
        <w:rPr>
          <w:b/>
          <w:bCs/>
        </w:rPr>
        <w:t>Slide 10:</w:t>
      </w:r>
      <w:r>
        <w:t xml:space="preserve"> Each pathway for providing accessible materials is supported by a distinct accessibility law. </w:t>
      </w:r>
      <w:r w:rsidRPr="007328D9">
        <w:t>Providing accessible materials from the beginning for all students</w:t>
      </w:r>
      <w:r>
        <w:t xml:space="preserve"> </w:t>
      </w:r>
      <w:r w:rsidRPr="007328D9">
        <w:t xml:space="preserve">aligns with </w:t>
      </w:r>
      <w:r>
        <w:t xml:space="preserve">the Americans with Disabilities Act (ADA) Title II. </w:t>
      </w:r>
      <w:r>
        <w:br/>
      </w:r>
      <w:r>
        <w:br/>
      </w:r>
      <w:r w:rsidRPr="00710FE7">
        <w:t xml:space="preserve">Providing accessible formats for </w:t>
      </w:r>
      <w:r>
        <w:t xml:space="preserve">eligible </w:t>
      </w:r>
      <w:r w:rsidRPr="00710FE7">
        <w:t xml:space="preserve">students with disabilities aligns with </w:t>
      </w:r>
      <w:r>
        <w:t xml:space="preserve">the Individuals with Disabilities Education Act or IDEA. Special educators will likely find this law to be more familiar. </w:t>
      </w:r>
    </w:p>
    <w:p w14:paraId="171BA4CF" w14:textId="77777777" w:rsidR="00F4598F" w:rsidRPr="00A643A4" w:rsidRDefault="00F4598F" w:rsidP="00C16313">
      <w:pPr>
        <w:pStyle w:val="ListParagraph"/>
        <w:numPr>
          <w:ilvl w:val="0"/>
          <w:numId w:val="25"/>
        </w:numPr>
      </w:pPr>
      <w:r w:rsidRPr="00EC3AE5">
        <w:rPr>
          <w:b/>
          <w:bCs/>
        </w:rPr>
        <w:t>Slide 11 (animated):</w:t>
      </w:r>
      <w:r>
        <w:t xml:space="preserve"> To briefly review IDEA and accessible formats, click to remind the audience that s</w:t>
      </w:r>
      <w:r w:rsidRPr="005E5F97">
        <w:t>tate and local educational agencies are required to provide accessible formats of inaccessible materials to eligible students with disabilities in a timely manner</w:t>
      </w:r>
      <w:r>
        <w:t>. “</w:t>
      </w:r>
      <w:r w:rsidRPr="005E5F97">
        <w:t xml:space="preserve">Timely manner” is widely defined </w:t>
      </w:r>
      <w:r>
        <w:t xml:space="preserve">by states </w:t>
      </w:r>
      <w:r w:rsidRPr="005E5F97">
        <w:t>as “provided at the same time students without disabilities receive the material.”</w:t>
      </w:r>
      <w:r>
        <w:br/>
      </w:r>
      <w:r>
        <w:br/>
        <w:t>Click again to note that u</w:t>
      </w:r>
      <w:r w:rsidRPr="00AA2C45">
        <w:t xml:space="preserve">nlike assistive technology </w:t>
      </w:r>
      <w:r>
        <w:t>or AT</w:t>
      </w:r>
      <w:r w:rsidRPr="00AA2C45">
        <w:t xml:space="preserve">, the IDEA does not require AEM to be considered by the IEP Team. </w:t>
      </w:r>
      <w:r w:rsidRPr="00EC3AE5">
        <w:rPr>
          <w:b/>
          <w:bCs/>
        </w:rPr>
        <w:t xml:space="preserve">Nonetheless, it’s best practice </w:t>
      </w:r>
      <w:r>
        <w:rPr>
          <w:b/>
          <w:bCs/>
        </w:rPr>
        <w:t>to consider AEM for all students with IEPs during IEP development, review, or revision to ensure</w:t>
      </w:r>
      <w:r w:rsidRPr="00EC3AE5">
        <w:rPr>
          <w:b/>
          <w:bCs/>
        </w:rPr>
        <w:t xml:space="preserve"> timely provision</w:t>
      </w:r>
      <w:r>
        <w:rPr>
          <w:b/>
          <w:bCs/>
        </w:rPr>
        <w:t>.</w:t>
      </w:r>
    </w:p>
    <w:p w14:paraId="2522BAE4" w14:textId="13579014" w:rsidR="00F4598F" w:rsidRDefault="00F4598F" w:rsidP="00C16313">
      <w:pPr>
        <w:pStyle w:val="ListParagraph"/>
        <w:numPr>
          <w:ilvl w:val="0"/>
          <w:numId w:val="25"/>
        </w:numPr>
      </w:pPr>
      <w:r w:rsidRPr="00D364E1">
        <w:rPr>
          <w:b/>
        </w:rPr>
        <w:t>Slide 12 (animated):</w:t>
      </w:r>
      <w:r w:rsidRPr="00C16313">
        <w:t xml:space="preserve"> </w:t>
      </w:r>
      <w:r w:rsidRPr="002E3E68">
        <w:t xml:space="preserve">Emphasize that when a </w:t>
      </w:r>
      <w:r>
        <w:t>student requires</w:t>
      </w:r>
      <w:r w:rsidRPr="002E3E68">
        <w:t xml:space="preserve"> accessible formats, teams must </w:t>
      </w:r>
      <w:r>
        <w:t>address how to provide</w:t>
      </w:r>
      <w:r w:rsidRPr="002E3E68">
        <w:t xml:space="preserve"> </w:t>
      </w:r>
      <w:r>
        <w:t>accessible formats of copyrighted</w:t>
      </w:r>
      <w:r w:rsidRPr="002E3E68">
        <w:t xml:space="preserve"> materials, such as textbooks</w:t>
      </w:r>
      <w:r>
        <w:t xml:space="preserve"> and curriculum materials purchased from publishers</w:t>
      </w:r>
      <w:r w:rsidRPr="002E3E68">
        <w:t>.</w:t>
      </w:r>
      <w:r>
        <w:br/>
      </w:r>
      <w:r>
        <w:br/>
        <w:t>Click to reveal that when an</w:t>
      </w:r>
      <w:r w:rsidRPr="00104DF5">
        <w:t xml:space="preserve"> inaccessible material has a copyright license, Section 121 of the U.S. Copyright Act</w:t>
      </w:r>
      <w:r>
        <w:t xml:space="preserve"> allows for an accessible format of the material to be provided to the eligible student.</w:t>
      </w:r>
      <w:r w:rsidR="00385442">
        <w:br/>
      </w:r>
      <w:r w:rsidR="00385442">
        <w:lastRenderedPageBreak/>
        <w:br/>
      </w:r>
      <w:r>
        <w:t xml:space="preserve">Click to note that an eligible student broadly includes students </w:t>
      </w:r>
      <w:r w:rsidR="00913B1F">
        <w:t>who</w:t>
      </w:r>
      <w:r>
        <w:t xml:space="preserve"> are</w:t>
      </w:r>
      <w:r w:rsidRPr="00AC785B">
        <w:t xml:space="preserve"> blind or</w:t>
      </w:r>
      <w:r>
        <w:t xml:space="preserve"> have</w:t>
      </w:r>
      <w:r w:rsidRPr="00AC785B">
        <w:t xml:space="preserve"> low vision, hav</w:t>
      </w:r>
      <w:r>
        <w:t>e</w:t>
      </w:r>
      <w:r w:rsidRPr="00AC785B">
        <w:t xml:space="preserve"> a reading disability, or hav</w:t>
      </w:r>
      <w:r>
        <w:t xml:space="preserve">e </w:t>
      </w:r>
      <w:r w:rsidRPr="00AC785B">
        <w:t>a physical disability</w:t>
      </w:r>
      <w:r>
        <w:t>. It is the responsibility of the IEP team to determine a student’s eligibility based on the need for accessible formats.</w:t>
      </w:r>
      <w:r w:rsidR="005D18A6">
        <w:br/>
      </w:r>
      <w:r w:rsidR="005D18A6">
        <w:br/>
      </w:r>
      <w:r>
        <w:t xml:space="preserve">Click to indicate that certifying a student as eligible to receive accessible formats can be done by members of the IEP team including: an </w:t>
      </w:r>
      <w:r w:rsidRPr="00D835DD">
        <w:t>educator, case worker, school psychologist,</w:t>
      </w:r>
      <w:r>
        <w:t xml:space="preserve"> or</w:t>
      </w:r>
      <w:r w:rsidRPr="00D835DD">
        <w:t xml:space="preserve"> certified reading specialist</w:t>
      </w:r>
      <w:r>
        <w:t>.</w:t>
      </w:r>
    </w:p>
    <w:p w14:paraId="406891F2" w14:textId="77777777" w:rsidR="00F4598F" w:rsidRDefault="00F4598F" w:rsidP="00F4598F">
      <w:pPr>
        <w:pStyle w:val="Heading3"/>
      </w:pPr>
      <w:bookmarkStart w:id="39" w:name="_Toc227074444"/>
      <w:r w:rsidRPr="004A50E3">
        <w:t>Key Message</w:t>
      </w:r>
      <w:r>
        <w:t>s</w:t>
      </w:r>
      <w:r w:rsidRPr="004A50E3">
        <w:t xml:space="preserve"> to Emphasize</w:t>
      </w:r>
      <w:bookmarkEnd w:id="39"/>
    </w:p>
    <w:p w14:paraId="06B3D7F2" w14:textId="77777777" w:rsidR="00F4598F" w:rsidRDefault="00F4598F" w:rsidP="002D0059">
      <w:pPr>
        <w:pStyle w:val="ListParagraph"/>
      </w:pPr>
      <w:r>
        <w:t>The provisions of each law are not interchangeable.</w:t>
      </w:r>
    </w:p>
    <w:p w14:paraId="3C700906" w14:textId="77777777" w:rsidR="00F4598F" w:rsidRDefault="00F4598F" w:rsidP="002D0059">
      <w:pPr>
        <w:pStyle w:val="ListParagraph"/>
      </w:pPr>
      <w:r>
        <w:t>Systems need both pathways working together.</w:t>
      </w:r>
    </w:p>
    <w:p w14:paraId="3117082B" w14:textId="77777777" w:rsidR="00F4598F" w:rsidRDefault="00F4598F" w:rsidP="002D0059">
      <w:pPr>
        <w:pStyle w:val="ListParagraph"/>
      </w:pPr>
      <w:r>
        <w:t>Accessible formats should be considered for all students with an IEP.</w:t>
      </w:r>
    </w:p>
    <w:p w14:paraId="5BA11D0E" w14:textId="77777777" w:rsidR="00F4598F" w:rsidRPr="00554001" w:rsidRDefault="00F4598F" w:rsidP="002D0059">
      <w:pPr>
        <w:pStyle w:val="ListParagraph"/>
      </w:pPr>
      <w:r>
        <w:t>IEP team members can certify a student as eligible for accessible formats.</w:t>
      </w:r>
    </w:p>
    <w:p w14:paraId="4EE48E35" w14:textId="77777777" w:rsidR="00F4598F" w:rsidRDefault="00F4598F" w:rsidP="00F4598F">
      <w:pPr>
        <w:pStyle w:val="Heading2"/>
      </w:pPr>
      <w:bookmarkStart w:id="40" w:name="_Toc227074445"/>
      <w:bookmarkStart w:id="41" w:name="_Toc227136503"/>
      <w:r>
        <w:t>Key Resources (Slides 13-17)</w:t>
      </w:r>
      <w:bookmarkEnd w:id="40"/>
      <w:bookmarkEnd w:id="41"/>
    </w:p>
    <w:p w14:paraId="31306537" w14:textId="77777777" w:rsidR="00F4598F" w:rsidRDefault="00F4598F" w:rsidP="001438D5">
      <w:pPr>
        <w:pStyle w:val="ListParagraph"/>
      </w:pPr>
      <w:r w:rsidRPr="00137B87">
        <w:rPr>
          <w:b/>
          <w:bCs/>
        </w:rPr>
        <w:t>Slide 13:</w:t>
      </w:r>
      <w:r>
        <w:t xml:space="preserve"> Now it’s time to review the two key resources used to create this presentation. </w:t>
      </w:r>
    </w:p>
    <w:p w14:paraId="28A7C048" w14:textId="77777777" w:rsidR="00F4598F" w:rsidRDefault="00F4598F" w:rsidP="001438D5">
      <w:pPr>
        <w:pStyle w:val="ListParagraph"/>
      </w:pPr>
      <w:r w:rsidRPr="000B6306">
        <w:rPr>
          <w:b/>
          <w:bCs/>
        </w:rPr>
        <w:t>Slide 14:</w:t>
      </w:r>
      <w:r>
        <w:t xml:space="preserve"> The first resource is the 2024 AT Guidance (please share a link in the chat if presenting virtually) pictured on the right of the slide. </w:t>
      </w:r>
      <w:r>
        <w:br/>
      </w:r>
      <w:r>
        <w:br/>
        <w:t xml:space="preserve">Presenters could start with a poll (raise hands, reply in a virtual chat, respond to a virtual poll, or otherwise physical indicate) to find out who is familiar with the 2024 AT Guidance. </w:t>
      </w:r>
      <w:r>
        <w:br/>
      </w:r>
      <w:r>
        <w:br/>
        <w:t>Then review or remind the audience that the guidance was provided by the Office of Special Education Programs or OSEP with the goals of increasing understanding of the IDEA’s requirements regarding AT, dispelling common misconceptions or myths about AT, and providing example of the use of AT.</w:t>
      </w:r>
    </w:p>
    <w:p w14:paraId="468840B4" w14:textId="130BB95F" w:rsidR="00F4598F" w:rsidRDefault="00F4598F" w:rsidP="001438D5">
      <w:pPr>
        <w:pStyle w:val="ListParagraph"/>
      </w:pPr>
      <w:r w:rsidRPr="00B504E6">
        <w:rPr>
          <w:b/>
          <w:bCs/>
        </w:rPr>
        <w:t>Slide 15:</w:t>
      </w:r>
      <w:r>
        <w:t xml:space="preserve"> </w:t>
      </w:r>
      <w:r w:rsidRPr="00E74DE8">
        <w:t xml:space="preserve">To supplement the AT Guidance, NCADEMI published </w:t>
      </w:r>
      <w:r>
        <w:t>“</w:t>
      </w:r>
      <w:r w:rsidRPr="00E74DE8">
        <w:t>More to the Myths and Facts</w:t>
      </w:r>
      <w:r>
        <w:t xml:space="preserve">: Addressing Accessible Educational Materials in the 2025 Assistive Technology Guidance” (please share a link in the chat if presenting virtually). </w:t>
      </w:r>
      <w:r>
        <w:br/>
      </w:r>
      <w:r>
        <w:lastRenderedPageBreak/>
        <w:br/>
        <w:t xml:space="preserve">This </w:t>
      </w:r>
      <w:r w:rsidRPr="001438D5">
        <w:t>doc</w:t>
      </w:r>
      <w:r w:rsidR="003F445D">
        <w:t>ument</w:t>
      </w:r>
      <w:r>
        <w:t>, pictured on the right, was designed to h</w:t>
      </w:r>
      <w:r w:rsidRPr="00B504E6">
        <w:t>elp IEP Teams consider a student’s need for AEM alongside the need for AT</w:t>
      </w:r>
      <w:r>
        <w:t xml:space="preserve">, increase </w:t>
      </w:r>
      <w:r w:rsidRPr="00B504E6">
        <w:t>understanding of the IDEA’s requirements regarding AEM</w:t>
      </w:r>
      <w:r>
        <w:t>, d</w:t>
      </w:r>
      <w:r w:rsidRPr="00B504E6">
        <w:t>ispel common misconceptions about AEM</w:t>
      </w:r>
      <w:r>
        <w:t>, and p</w:t>
      </w:r>
      <w:r w:rsidRPr="00B504E6">
        <w:t>rovide examples of the use of AEM</w:t>
      </w:r>
      <w:r>
        <w:t>.</w:t>
      </w:r>
    </w:p>
    <w:p w14:paraId="74271C38" w14:textId="4019390B" w:rsidR="00F4598F" w:rsidRPr="005F6F68" w:rsidRDefault="00F4598F" w:rsidP="001438D5">
      <w:pPr>
        <w:pStyle w:val="ListParagraph"/>
      </w:pPr>
      <w:r>
        <w:rPr>
          <w:b/>
          <w:bCs/>
        </w:rPr>
        <w:t>Slide 16:</w:t>
      </w:r>
      <w:r>
        <w:t xml:space="preserve"> Here you can see screenshots of myth and fact number one of the 2024 AT Guidance next to the same myth and fact with the </w:t>
      </w:r>
      <w:r w:rsidRPr="0014280E">
        <w:rPr>
          <w:b/>
        </w:rPr>
        <w:t>added AEM Tie-In and detailed explanation in “More to the Myths and Facts.”</w:t>
      </w:r>
    </w:p>
    <w:p w14:paraId="1B728097" w14:textId="77777777" w:rsidR="00F4598F" w:rsidRDefault="00F4598F" w:rsidP="00F4598F">
      <w:pPr>
        <w:pStyle w:val="Heading3"/>
      </w:pPr>
      <w:bookmarkStart w:id="42" w:name="_Toc227074446"/>
      <w:r w:rsidRPr="004A50E3">
        <w:t>Key Message</w:t>
      </w:r>
      <w:r>
        <w:t>s</w:t>
      </w:r>
      <w:r w:rsidRPr="004A50E3">
        <w:t xml:space="preserve"> to Emphasize</w:t>
      </w:r>
      <w:bookmarkEnd w:id="42"/>
    </w:p>
    <w:p w14:paraId="12BBD83B" w14:textId="71449E2D" w:rsidR="00F4598F" w:rsidRDefault="00F4598F" w:rsidP="00DB170A">
      <w:pPr>
        <w:pStyle w:val="ListParagraph"/>
      </w:pPr>
      <w:r w:rsidRPr="00837820">
        <w:t xml:space="preserve">The AT Guidance and More to the Myths and Facts are designed to be used </w:t>
      </w:r>
      <w:r w:rsidRPr="00DB170A">
        <w:t>togethe</w:t>
      </w:r>
      <w:r w:rsidR="00177D9D">
        <w:t xml:space="preserve">r: </w:t>
      </w:r>
      <w:r w:rsidR="00955C77">
        <w:t>O</w:t>
      </w:r>
      <w:r w:rsidRPr="00DB170A">
        <w:t>ne</w:t>
      </w:r>
      <w:r w:rsidRPr="00837820">
        <w:t xml:space="preserve"> focuses on AT, the other extends </w:t>
      </w:r>
      <w:r>
        <w:t>considerations to</w:t>
      </w:r>
      <w:r w:rsidRPr="00837820">
        <w:t xml:space="preserve"> </w:t>
      </w:r>
      <w:r>
        <w:t>accessible formats.</w:t>
      </w:r>
    </w:p>
    <w:p w14:paraId="4B630BD3" w14:textId="77777777" w:rsidR="00F4598F" w:rsidRDefault="00F4598F" w:rsidP="00DB170A">
      <w:pPr>
        <w:pStyle w:val="ListParagraph"/>
      </w:pPr>
      <w:r>
        <w:t>Both resources move teams from misconceptions to action by clarifying myths and supporting informed decisions about AT and accessible formats.</w:t>
      </w:r>
    </w:p>
    <w:p w14:paraId="31C986EE" w14:textId="77777777" w:rsidR="00F4598F" w:rsidRPr="00ED3D84" w:rsidRDefault="00F4598F" w:rsidP="00F4598F">
      <w:pPr>
        <w:pStyle w:val="Heading2"/>
      </w:pPr>
      <w:bookmarkStart w:id="43" w:name="_Toc227074447"/>
      <w:bookmarkStart w:id="44" w:name="_Toc227136504"/>
      <w:r>
        <w:t>Bust the Myths! (Slides 17-19)</w:t>
      </w:r>
      <w:bookmarkEnd w:id="43"/>
      <w:bookmarkEnd w:id="44"/>
    </w:p>
    <w:p w14:paraId="1B4A13CF" w14:textId="2850B408" w:rsidR="00F4598F" w:rsidRDefault="00F4598F" w:rsidP="00423B81">
      <w:pPr>
        <w:pStyle w:val="ListParagraph"/>
      </w:pPr>
      <w:r>
        <w:rPr>
          <w:b/>
          <w:bCs/>
        </w:rPr>
        <w:t>Slide 17:</w:t>
      </w:r>
      <w:r w:rsidRPr="00423B81">
        <w:t xml:space="preserve"> </w:t>
      </w:r>
      <w:r>
        <w:t>Fire up the audience for a fun myth-busting discussion that tests their knowledge about accessible formats. In a moment, you will be sharing seven statements about accessible formats. Invite the audience to interact with the poll (see session preparation) or personally record whether they believe each statement is a myth or fact.</w:t>
      </w:r>
    </w:p>
    <w:p w14:paraId="03E69A49" w14:textId="77777777" w:rsidR="00F4598F" w:rsidRPr="00AF0AF3" w:rsidRDefault="00F4598F" w:rsidP="00423B81">
      <w:pPr>
        <w:pStyle w:val="ListParagraph"/>
      </w:pPr>
      <w:r>
        <w:rPr>
          <w:b/>
          <w:bCs/>
        </w:rPr>
        <w:t>Slides 18 and 19 (animated):</w:t>
      </w:r>
      <w:r>
        <w:t xml:space="preserve"> Click to reveal each statement and read it aloud. Pause briefly to let the audience respond to the poll or record whether each statement is a myth or fact.</w:t>
      </w:r>
    </w:p>
    <w:p w14:paraId="40B98AD5" w14:textId="77777777" w:rsidR="00F4598F" w:rsidRDefault="00F4598F" w:rsidP="00F4598F">
      <w:pPr>
        <w:pStyle w:val="Heading2"/>
      </w:pPr>
      <w:bookmarkStart w:id="45" w:name="_Toc227074448"/>
      <w:bookmarkStart w:id="46" w:name="_Toc227136505"/>
      <w:r>
        <w:t>Myth-busting Discussion (Slides 20-34)</w:t>
      </w:r>
      <w:bookmarkEnd w:id="45"/>
      <w:bookmarkEnd w:id="46"/>
    </w:p>
    <w:p w14:paraId="290FDC94" w14:textId="77777777" w:rsidR="00F4598F" w:rsidRDefault="00F4598F" w:rsidP="00C16313">
      <w:pPr>
        <w:pStyle w:val="ListParagraph"/>
        <w:numPr>
          <w:ilvl w:val="0"/>
          <w:numId w:val="16"/>
        </w:numPr>
      </w:pPr>
      <w:r w:rsidRPr="00166A89">
        <w:rPr>
          <w:b/>
          <w:bCs/>
        </w:rPr>
        <w:t>Slide 20:</w:t>
      </w:r>
      <w:r>
        <w:t xml:space="preserve"> Now it’s time for the audience to check their knowledge as you walk them through each of the seven accessible format statements alongside their AT companion statement from the 2024 AT Guidance.</w:t>
      </w:r>
    </w:p>
    <w:p w14:paraId="608DF361" w14:textId="68A2DF29" w:rsidR="00F4598F" w:rsidRDefault="00F4598F" w:rsidP="00C16313">
      <w:pPr>
        <w:pStyle w:val="ListParagraph"/>
        <w:numPr>
          <w:ilvl w:val="0"/>
          <w:numId w:val="16"/>
        </w:numPr>
      </w:pPr>
      <w:r>
        <w:rPr>
          <w:b/>
          <w:bCs/>
        </w:rPr>
        <w:t>Slide 21 (animated):</w:t>
      </w:r>
      <w:r>
        <w:t xml:space="preserve"> Review accessible format statement number one on the </w:t>
      </w:r>
      <w:r w:rsidR="00EC34AD">
        <w:t xml:space="preserve">left </w:t>
      </w:r>
      <w:r>
        <w:t xml:space="preserve">and note how it reflects the AT statement on the </w:t>
      </w:r>
      <w:r w:rsidR="00EC34AD">
        <w:t>right</w:t>
      </w:r>
      <w:r>
        <w:t xml:space="preserve">. Invite the audience to check </w:t>
      </w:r>
      <w:r>
        <w:lastRenderedPageBreak/>
        <w:t xml:space="preserve">their responses or display the poll results (did they think it was a myth or fact?), then click to reveal this is a </w:t>
      </w:r>
      <w:r w:rsidRPr="009D6EF9">
        <w:rPr>
          <w:b/>
          <w:bCs/>
        </w:rPr>
        <w:t>myth</w:t>
      </w:r>
      <w:r>
        <w:rPr>
          <w:b/>
          <w:bCs/>
        </w:rPr>
        <w:t xml:space="preserve">. </w:t>
      </w:r>
      <w:r>
        <w:t>It’s</w:t>
      </w:r>
      <w:r>
        <w:rPr>
          <w:b/>
          <w:bCs/>
        </w:rPr>
        <w:t xml:space="preserve"> </w:t>
      </w:r>
      <w:r w:rsidRPr="00C06C56">
        <w:t xml:space="preserve">myth number </w:t>
      </w:r>
      <w:r>
        <w:t>one from the AT Guidance.</w:t>
      </w:r>
    </w:p>
    <w:p w14:paraId="40BEB35E" w14:textId="7B1A11C4" w:rsidR="00F4598F" w:rsidRPr="0023665F" w:rsidRDefault="00F4598F" w:rsidP="00C16313">
      <w:pPr>
        <w:pStyle w:val="ListParagraph"/>
        <w:numPr>
          <w:ilvl w:val="0"/>
          <w:numId w:val="16"/>
        </w:numPr>
      </w:pPr>
      <w:r>
        <w:rPr>
          <w:b/>
          <w:bCs/>
        </w:rPr>
        <w:t>Slide 22:</w:t>
      </w:r>
      <w:r>
        <w:t xml:space="preserve"> </w:t>
      </w:r>
      <w:r w:rsidRPr="004119F6">
        <w:t>Review the AEM Tie-in for this myth</w:t>
      </w:r>
      <w:r>
        <w:t>, emphasizing the words</w:t>
      </w:r>
      <w:r w:rsidR="006F7E35">
        <w:t xml:space="preserve"> in bold</w:t>
      </w:r>
      <w:r>
        <w:t>. Reiterate that although IDEA doesn’t require IEP teams to consider accessible formats, it does require educational agencies to provide them in a timely manner to ensure students receive a free and appropriate public education (FAPE). This makes the IEP development, review, or revision process the most opportune time to consider accessible formats, so they can be provided in time for instruction and to meet legal obligations.</w:t>
      </w:r>
      <w:r>
        <w:br/>
      </w:r>
      <w:r>
        <w:br/>
        <w:t>Consider engaging the audience in a discussion about who has been on an IEP team that considered accessible formats and what the outcome was. Encourage the audience to add accessible formats to a list of considerations for their next IEP meeting.</w:t>
      </w:r>
    </w:p>
    <w:p w14:paraId="6EF402E6" w14:textId="2DDEF534" w:rsidR="00F4598F" w:rsidRDefault="00F4598F" w:rsidP="00C16313">
      <w:pPr>
        <w:pStyle w:val="ListParagraph"/>
        <w:numPr>
          <w:ilvl w:val="0"/>
          <w:numId w:val="16"/>
        </w:numPr>
      </w:pPr>
      <w:r w:rsidRPr="00CB13E3">
        <w:rPr>
          <w:b/>
          <w:bCs/>
        </w:rPr>
        <w:t>Slide 23</w:t>
      </w:r>
      <w:r>
        <w:rPr>
          <w:b/>
          <w:bCs/>
        </w:rPr>
        <w:t xml:space="preserve"> (animated)</w:t>
      </w:r>
      <w:r w:rsidRPr="00CB13E3">
        <w:rPr>
          <w:b/>
          <w:bCs/>
        </w:rPr>
        <w:t xml:space="preserve">: </w:t>
      </w:r>
      <w:r>
        <w:t xml:space="preserve">Review accessible format statement number two on the </w:t>
      </w:r>
      <w:r w:rsidR="00EC34AD">
        <w:t>left</w:t>
      </w:r>
      <w:r>
        <w:t xml:space="preserve"> and note how it reflects the AT statement on the </w:t>
      </w:r>
      <w:r w:rsidR="00EC34AD">
        <w:t>right</w:t>
      </w:r>
      <w:r>
        <w:t xml:space="preserve">. Invite the audience to check their responses or display the poll results (did they think it was a myth or fact?), then click to reveal this is a </w:t>
      </w:r>
      <w:r w:rsidRPr="009D6EF9">
        <w:rPr>
          <w:b/>
          <w:bCs/>
        </w:rPr>
        <w:t>myth</w:t>
      </w:r>
      <w:r>
        <w:rPr>
          <w:b/>
          <w:bCs/>
        </w:rPr>
        <w:t xml:space="preserve">. </w:t>
      </w:r>
      <w:r>
        <w:t>It’s</w:t>
      </w:r>
      <w:r>
        <w:rPr>
          <w:b/>
          <w:bCs/>
        </w:rPr>
        <w:t xml:space="preserve"> </w:t>
      </w:r>
      <w:r w:rsidRPr="00C06C56">
        <w:t xml:space="preserve">myth number </w:t>
      </w:r>
      <w:r>
        <w:t>two from the AT Guidance.</w:t>
      </w:r>
    </w:p>
    <w:p w14:paraId="22202505" w14:textId="5E20135D" w:rsidR="00F4598F" w:rsidRDefault="00F4598F" w:rsidP="00C16313">
      <w:pPr>
        <w:pStyle w:val="ListParagraph"/>
        <w:numPr>
          <w:ilvl w:val="0"/>
          <w:numId w:val="16"/>
        </w:numPr>
      </w:pPr>
      <w:r w:rsidRPr="00CB13E3">
        <w:rPr>
          <w:b/>
          <w:bCs/>
        </w:rPr>
        <w:t>Slide 24:</w:t>
      </w:r>
      <w:r>
        <w:t xml:space="preserve"> </w:t>
      </w:r>
      <w:r w:rsidRPr="004119F6">
        <w:t>Review the AEM Tie-in for this myth</w:t>
      </w:r>
      <w:r>
        <w:t>, emphasizing the words</w:t>
      </w:r>
      <w:r w:rsidR="007E6FC0">
        <w:t xml:space="preserve"> in bold</w:t>
      </w:r>
      <w:r>
        <w:t xml:space="preserve">. </w:t>
      </w:r>
      <w:r w:rsidRPr="00B82F27">
        <w:t>While IDEA does not require an accessible format evaluation for all students, it does include a “braille provision” under special factors. This provision requires that students who are blind or visually impaired receive instruction in braille and the use of braille, unless an evaluation leads the IEP team to determine that braille is not appropriate.</w:t>
      </w:r>
    </w:p>
    <w:p w14:paraId="46390735" w14:textId="0A72FC19" w:rsidR="00F4598F" w:rsidRDefault="00F4598F" w:rsidP="00C16313">
      <w:pPr>
        <w:pStyle w:val="ListParagraph"/>
        <w:numPr>
          <w:ilvl w:val="0"/>
          <w:numId w:val="16"/>
        </w:numPr>
      </w:pPr>
      <w:r>
        <w:rPr>
          <w:b/>
          <w:bCs/>
        </w:rPr>
        <w:t xml:space="preserve">Slide 25 (animated): </w:t>
      </w:r>
      <w:r>
        <w:t xml:space="preserve">Review accessible format statement number three on the </w:t>
      </w:r>
      <w:r w:rsidR="00EC34AD">
        <w:t xml:space="preserve">left </w:t>
      </w:r>
      <w:r>
        <w:t xml:space="preserve">and note how it reflects the AT statement on the </w:t>
      </w:r>
      <w:r w:rsidR="00EC34AD">
        <w:t>right</w:t>
      </w:r>
      <w:r>
        <w:t xml:space="preserve">. Invite the audience to check their responses or display the poll results (did they think it was a myth or fact?), then click to reveal this is a </w:t>
      </w:r>
      <w:r w:rsidRPr="009D6EF9">
        <w:rPr>
          <w:b/>
          <w:bCs/>
        </w:rPr>
        <w:t>myth</w:t>
      </w:r>
      <w:r>
        <w:rPr>
          <w:b/>
          <w:bCs/>
        </w:rPr>
        <w:t xml:space="preserve">. </w:t>
      </w:r>
      <w:r>
        <w:t>It’s</w:t>
      </w:r>
      <w:r>
        <w:rPr>
          <w:b/>
          <w:bCs/>
        </w:rPr>
        <w:t xml:space="preserve"> </w:t>
      </w:r>
      <w:r w:rsidRPr="00C06C56">
        <w:t xml:space="preserve">myth number </w:t>
      </w:r>
      <w:r>
        <w:t>five</w:t>
      </w:r>
      <w:r w:rsidRPr="00C06C56">
        <w:t>.</w:t>
      </w:r>
    </w:p>
    <w:p w14:paraId="14D666A8" w14:textId="070DECBE" w:rsidR="00F4598F" w:rsidRDefault="00F4598F" w:rsidP="00C16313">
      <w:pPr>
        <w:pStyle w:val="ListParagraph"/>
        <w:numPr>
          <w:ilvl w:val="0"/>
          <w:numId w:val="16"/>
        </w:numPr>
      </w:pPr>
      <w:r>
        <w:rPr>
          <w:b/>
          <w:bCs/>
        </w:rPr>
        <w:t>Slide 26:</w:t>
      </w:r>
      <w:r>
        <w:t xml:space="preserve"> </w:t>
      </w:r>
      <w:r w:rsidRPr="004119F6">
        <w:t>Review the AEM Tie-in for this myth</w:t>
      </w:r>
      <w:r>
        <w:t>, emphasizing the words</w:t>
      </w:r>
      <w:r w:rsidR="00023008">
        <w:t xml:space="preserve"> in bold</w:t>
      </w:r>
      <w:r>
        <w:t>. Invite a discussion about the types of services that may be needed to support a student’s use of an accessible format. These services may include training for students, staff, and families on how to access and use the format and any related technologies; s</w:t>
      </w:r>
      <w:r w:rsidRPr="00CB7900">
        <w:t xml:space="preserve">upport for educators on instructional strategies that promote effective and independent use; coordination to ensure materials are acquired and delivered in a </w:t>
      </w:r>
      <w:r w:rsidRPr="00CB7900">
        <w:lastRenderedPageBreak/>
        <w:t>timely manner; and ongoing collaboration to support use across settings, including the classroom, home, and community.</w:t>
      </w:r>
    </w:p>
    <w:p w14:paraId="002CEBD0" w14:textId="480D33B9" w:rsidR="00F4598F" w:rsidRDefault="00F4598F" w:rsidP="00C16313">
      <w:pPr>
        <w:pStyle w:val="ListParagraph"/>
        <w:numPr>
          <w:ilvl w:val="0"/>
          <w:numId w:val="16"/>
        </w:numPr>
      </w:pPr>
      <w:r>
        <w:rPr>
          <w:b/>
          <w:bCs/>
        </w:rPr>
        <w:t>Slide 27 (animated):</w:t>
      </w:r>
      <w:r>
        <w:t xml:space="preserve"> Review accessible format statement number four on the </w:t>
      </w:r>
      <w:r w:rsidR="00EC34AD">
        <w:t>left</w:t>
      </w:r>
      <w:r>
        <w:t xml:space="preserve"> and note how it reflects the AT statement on the </w:t>
      </w:r>
      <w:r w:rsidR="00EC34AD">
        <w:t>right</w:t>
      </w:r>
      <w:r>
        <w:t xml:space="preserve">. Invite the audience to check their responses or display the poll results (did they think it was a myth or fact?), then click to reveal this is a </w:t>
      </w:r>
      <w:r w:rsidRPr="009D6EF9">
        <w:rPr>
          <w:b/>
          <w:bCs/>
        </w:rPr>
        <w:t>myth</w:t>
      </w:r>
      <w:r>
        <w:rPr>
          <w:b/>
          <w:bCs/>
        </w:rPr>
        <w:t xml:space="preserve">. </w:t>
      </w:r>
      <w:r>
        <w:t>It’s</w:t>
      </w:r>
      <w:r>
        <w:rPr>
          <w:b/>
          <w:bCs/>
        </w:rPr>
        <w:t xml:space="preserve"> </w:t>
      </w:r>
      <w:r w:rsidRPr="00C06C56">
        <w:t>myth number</w:t>
      </w:r>
      <w:r>
        <w:t xml:space="preserve"> eight</w:t>
      </w:r>
      <w:r w:rsidRPr="00C06C56">
        <w:t>.</w:t>
      </w:r>
    </w:p>
    <w:p w14:paraId="565F478E" w14:textId="4E2DDF96" w:rsidR="00F4598F" w:rsidRDefault="00F4598F" w:rsidP="00C16313">
      <w:pPr>
        <w:pStyle w:val="ListParagraph"/>
        <w:numPr>
          <w:ilvl w:val="0"/>
          <w:numId w:val="16"/>
        </w:numPr>
      </w:pPr>
      <w:r w:rsidRPr="00370968">
        <w:rPr>
          <w:b/>
          <w:bCs/>
        </w:rPr>
        <w:t>Slide 28:</w:t>
      </w:r>
      <w:r>
        <w:t xml:space="preserve"> R</w:t>
      </w:r>
      <w:r w:rsidRPr="004119F6">
        <w:t>eview the AEM Tie-in for this myth</w:t>
      </w:r>
      <w:r>
        <w:t>, emphasizing the words</w:t>
      </w:r>
      <w:r w:rsidR="00CA5691">
        <w:t xml:space="preserve"> in bold</w:t>
      </w:r>
      <w:r>
        <w:t xml:space="preserve">. </w:t>
      </w:r>
      <w:r w:rsidRPr="001671AD">
        <w:t xml:space="preserve">Students with disabilities who use AT for </w:t>
      </w:r>
      <w:r w:rsidR="00CA5691">
        <w:t>s</w:t>
      </w:r>
      <w:r w:rsidRPr="001671AD">
        <w:t>tate and local assessments may require accessible formats that are compatible with their AT</w:t>
      </w:r>
      <w:r>
        <w:t>. Invite the audience to share any experiences they have with students who have used accessible formats with their AT on state and local assessments.</w:t>
      </w:r>
    </w:p>
    <w:p w14:paraId="2048E6E2" w14:textId="7722213C" w:rsidR="00F4598F" w:rsidRDefault="00F4598F" w:rsidP="00C16313">
      <w:pPr>
        <w:pStyle w:val="ListParagraph"/>
        <w:numPr>
          <w:ilvl w:val="0"/>
          <w:numId w:val="16"/>
        </w:numPr>
      </w:pPr>
      <w:r>
        <w:rPr>
          <w:b/>
          <w:bCs/>
        </w:rPr>
        <w:t>Slide 29 (animated):</w:t>
      </w:r>
      <w:r>
        <w:t xml:space="preserve"> Review accessible format statement number five on the </w:t>
      </w:r>
      <w:r w:rsidR="00EC34AD">
        <w:t>left</w:t>
      </w:r>
      <w:r>
        <w:t xml:space="preserve"> and note how it reflects the AT statement on the</w:t>
      </w:r>
      <w:r w:rsidR="00EC34AD">
        <w:t xml:space="preserve"> right.</w:t>
      </w:r>
      <w:r>
        <w:t xml:space="preserve"> Invite the audience to check their responses or display the poll results (did they think it was a myth or fact?), then click to reveal this is a </w:t>
      </w:r>
      <w:r w:rsidRPr="009D6EF9">
        <w:rPr>
          <w:b/>
          <w:bCs/>
        </w:rPr>
        <w:t>myth</w:t>
      </w:r>
      <w:r>
        <w:rPr>
          <w:b/>
          <w:bCs/>
        </w:rPr>
        <w:t xml:space="preserve">. </w:t>
      </w:r>
      <w:r>
        <w:t>It’s</w:t>
      </w:r>
      <w:r>
        <w:rPr>
          <w:b/>
          <w:bCs/>
        </w:rPr>
        <w:t xml:space="preserve"> </w:t>
      </w:r>
      <w:r w:rsidRPr="00C06C56">
        <w:t>myth number</w:t>
      </w:r>
      <w:r>
        <w:t xml:space="preserve"> ten.</w:t>
      </w:r>
    </w:p>
    <w:p w14:paraId="27CE3B3A" w14:textId="6C47E91C" w:rsidR="00F4598F" w:rsidRDefault="00F4598F" w:rsidP="00C16313">
      <w:pPr>
        <w:pStyle w:val="ListParagraph"/>
        <w:numPr>
          <w:ilvl w:val="0"/>
          <w:numId w:val="14"/>
        </w:numPr>
      </w:pPr>
      <w:r>
        <w:rPr>
          <w:b/>
          <w:bCs/>
        </w:rPr>
        <w:t>Slide 30:</w:t>
      </w:r>
      <w:r>
        <w:t xml:space="preserve"> R</w:t>
      </w:r>
      <w:r w:rsidRPr="004119F6">
        <w:t>eview the AEM Tie-in for this myth</w:t>
      </w:r>
      <w:r>
        <w:t>, emphasizing the words</w:t>
      </w:r>
      <w:r w:rsidR="0004011B">
        <w:t xml:space="preserve"> in bold</w:t>
      </w:r>
      <w:r>
        <w:t xml:space="preserve">. </w:t>
      </w:r>
      <w:r w:rsidRPr="00F04176">
        <w:t>Highlight the misconception that accessible formats are only for students who are blind or have low vision</w:t>
      </w:r>
      <w:r>
        <w:t xml:space="preserve">. While IDEA requires IEP teams to consider the needs of a student who is blind or visually impaired for instruction in braille and the use of braille, other students, such as those with dyslexia and/or physical disabilities, </w:t>
      </w:r>
      <w:r w:rsidRPr="00516A5F">
        <w:t>commonly</w:t>
      </w:r>
      <w:r w:rsidRPr="19CAC4A4">
        <w:rPr>
          <w:b/>
        </w:rPr>
        <w:t xml:space="preserve"> need</w:t>
      </w:r>
      <w:r>
        <w:t xml:space="preserve"> accessible formats. </w:t>
      </w:r>
      <w:r>
        <w:br/>
      </w:r>
      <w:r>
        <w:br/>
        <w:t>Additionally, the accessibility needs of students who are deaf or hard of hearing should also be considered. While not technically defined as “accessible formats,” features of accessible video, such as closed captions and synchronized American Sign Language, are important considerations.</w:t>
      </w:r>
    </w:p>
    <w:p w14:paraId="2DC2F2B8" w14:textId="086CF279" w:rsidR="00F4598F" w:rsidRDefault="00F4598F" w:rsidP="00C16313">
      <w:pPr>
        <w:pStyle w:val="ListParagraph"/>
        <w:numPr>
          <w:ilvl w:val="0"/>
          <w:numId w:val="14"/>
        </w:numPr>
      </w:pPr>
      <w:r w:rsidRPr="00516A5F">
        <w:rPr>
          <w:b/>
          <w:bCs/>
        </w:rPr>
        <w:t>Slide 31 (animated):</w:t>
      </w:r>
      <w:r>
        <w:t xml:space="preserve"> Review accessible format statement number six on the </w:t>
      </w:r>
      <w:r w:rsidR="00EC34AD">
        <w:t>left</w:t>
      </w:r>
      <w:r>
        <w:t xml:space="preserve"> and note how it reflects the AT statement on the </w:t>
      </w:r>
      <w:r w:rsidR="00EC34AD">
        <w:t>right</w:t>
      </w:r>
      <w:r>
        <w:t xml:space="preserve">. Invite the audience to check their responses or display the poll results (did they think it was a myth or fact?), then click to reveal this is a </w:t>
      </w:r>
      <w:r w:rsidRPr="00516A5F">
        <w:rPr>
          <w:b/>
          <w:bCs/>
        </w:rPr>
        <w:t xml:space="preserve">myth. </w:t>
      </w:r>
      <w:r>
        <w:t>It’s</w:t>
      </w:r>
      <w:r w:rsidRPr="00516A5F">
        <w:rPr>
          <w:b/>
          <w:bCs/>
        </w:rPr>
        <w:t xml:space="preserve"> </w:t>
      </w:r>
      <w:r w:rsidRPr="00C06C56">
        <w:t>myth number</w:t>
      </w:r>
      <w:r>
        <w:t xml:space="preserve"> nineteen.</w:t>
      </w:r>
    </w:p>
    <w:p w14:paraId="2AE63DBC" w14:textId="65B085B5" w:rsidR="00F4598F" w:rsidRDefault="00F4598F" w:rsidP="00C16313">
      <w:pPr>
        <w:pStyle w:val="ListParagraph"/>
        <w:numPr>
          <w:ilvl w:val="0"/>
          <w:numId w:val="16"/>
        </w:numPr>
      </w:pPr>
      <w:r w:rsidRPr="00516A5F">
        <w:rPr>
          <w:b/>
          <w:bCs/>
        </w:rPr>
        <w:t>Slide 32:</w:t>
      </w:r>
      <w:r>
        <w:t xml:space="preserve"> R</w:t>
      </w:r>
      <w:r w:rsidRPr="004119F6">
        <w:t>eview the AEM Tie-in for this myth</w:t>
      </w:r>
      <w:r>
        <w:t>, emphasizing the words</w:t>
      </w:r>
      <w:r w:rsidR="00F538E5">
        <w:t xml:space="preserve"> in bold</w:t>
      </w:r>
      <w:r>
        <w:t xml:space="preserve">. Because the amount of time it takes to acquire accessible formats varies widely, depending upon different factors, SEAs and LEAs can seek accessible formats through multiple federally funding programs such as: Bookshare, </w:t>
      </w:r>
      <w:r w:rsidRPr="006A2D50">
        <w:t xml:space="preserve">National Library </w:t>
      </w:r>
      <w:r w:rsidRPr="006A2D50">
        <w:lastRenderedPageBreak/>
        <w:t>Service for the Blind and Print Disabled (NLS)</w:t>
      </w:r>
      <w:r>
        <w:t xml:space="preserve">, and the </w:t>
      </w:r>
      <w:r w:rsidRPr="00394B96">
        <w:t>Described and Captioned Media Program (DCMP)</w:t>
      </w:r>
      <w:r>
        <w:t xml:space="preserve">. Some states also have an Instructional Resource Centers (IRCs) that provide and manage accessible formats of materials for eligible students. Contact the </w:t>
      </w:r>
      <w:hyperlink r:id="rId30">
        <w:r w:rsidRPr="62AA55BC">
          <w:rPr>
            <w:rStyle w:val="Hyperlink"/>
          </w:rPr>
          <w:t>State AEM Contact</w:t>
        </w:r>
      </w:hyperlink>
      <w:r>
        <w:t xml:space="preserve"> for more information.</w:t>
      </w:r>
      <w:r>
        <w:br/>
      </w:r>
      <w:r>
        <w:br/>
        <w:t xml:space="preserve">Consider taking some time to explore one or more of the federally funded accessible media producers listed above. </w:t>
      </w:r>
      <w:hyperlink r:id="rId31" w:history="1">
        <w:r w:rsidRPr="56FA19F7">
          <w:rPr>
            <w:rStyle w:val="Hyperlink"/>
          </w:rPr>
          <w:t>NCADEMI’s Accessible Media Producers page</w:t>
        </w:r>
      </w:hyperlink>
      <w:r>
        <w:t xml:space="preserve"> provides links, as well as suggested exploration activities.</w:t>
      </w:r>
    </w:p>
    <w:p w14:paraId="5DDB144F" w14:textId="2BCC4BB7" w:rsidR="00F4598F" w:rsidRDefault="00F4598F" w:rsidP="00C16313">
      <w:pPr>
        <w:pStyle w:val="ListParagraph"/>
        <w:numPr>
          <w:ilvl w:val="0"/>
          <w:numId w:val="16"/>
        </w:numPr>
      </w:pPr>
      <w:r>
        <w:rPr>
          <w:b/>
          <w:bCs/>
        </w:rPr>
        <w:t>Slide 33 (animated):</w:t>
      </w:r>
      <w:r>
        <w:t xml:space="preserve"> Review accessible format statement number seven on the </w:t>
      </w:r>
      <w:r w:rsidR="00EC34AD">
        <w:t xml:space="preserve">left </w:t>
      </w:r>
      <w:r>
        <w:t>and note how it reflects the AT statement on the</w:t>
      </w:r>
      <w:r w:rsidR="00EC34AD">
        <w:t xml:space="preserve"> right</w:t>
      </w:r>
      <w:r>
        <w:t xml:space="preserve">. Invite the audience to check their responses or display the poll results (did they think it was a myth or fact?), then click to reveal this is a </w:t>
      </w:r>
      <w:r w:rsidRPr="009D6EF9">
        <w:rPr>
          <w:b/>
          <w:bCs/>
        </w:rPr>
        <w:t>myth</w:t>
      </w:r>
      <w:r>
        <w:rPr>
          <w:b/>
          <w:bCs/>
        </w:rPr>
        <w:t xml:space="preserve">. </w:t>
      </w:r>
      <w:r>
        <w:t>This statement covers myths 23-26.</w:t>
      </w:r>
    </w:p>
    <w:p w14:paraId="38A711B0" w14:textId="4347668C" w:rsidR="00F4598F" w:rsidRDefault="00F4598F" w:rsidP="00C16313">
      <w:pPr>
        <w:pStyle w:val="ListParagraph"/>
        <w:numPr>
          <w:ilvl w:val="0"/>
          <w:numId w:val="16"/>
        </w:numPr>
      </w:pPr>
      <w:r w:rsidRPr="00751523">
        <w:rPr>
          <w:b/>
          <w:bCs/>
        </w:rPr>
        <w:t>Slide 34:</w:t>
      </w:r>
      <w:r>
        <w:t xml:space="preserve"> R</w:t>
      </w:r>
      <w:r w:rsidRPr="004119F6">
        <w:t>eview the AEM Tie-in for this myth</w:t>
      </w:r>
      <w:r>
        <w:t>, emphasizing the words</w:t>
      </w:r>
      <w:r w:rsidR="002239E4">
        <w:t xml:space="preserve"> in bold</w:t>
      </w:r>
      <w:r>
        <w:t xml:space="preserve">. Teams can develop and add a Part C to Part B transition plan to a student’s </w:t>
      </w:r>
      <w:r w:rsidRPr="00BE25CB">
        <w:t>individualized family service plan</w:t>
      </w:r>
      <w:r>
        <w:t xml:space="preserve"> (IFSP) that includes the accessible formats a student will need once enrolled in early childhood education. The plan may also include the training and services needed to prepare the student to be as independent as possible while using varied educational materials. It’s important to highlight that i</w:t>
      </w:r>
      <w:r w:rsidRPr="001E4CB3">
        <w:t xml:space="preserve">ntroducing accessible formats </w:t>
      </w:r>
      <w:r w:rsidRPr="00751523">
        <w:rPr>
          <w:b/>
          <w:bCs/>
        </w:rPr>
        <w:t>early</w:t>
      </w:r>
      <w:r w:rsidRPr="001E4CB3">
        <w:t xml:space="preserve"> helps </w:t>
      </w:r>
      <w:r>
        <w:t>students</w:t>
      </w:r>
      <w:r w:rsidRPr="001E4CB3">
        <w:t xml:space="preserve"> with disabilities build independence and participate alongside peers.</w:t>
      </w:r>
    </w:p>
    <w:p w14:paraId="7C5E517E" w14:textId="77777777" w:rsidR="00F4598F" w:rsidRDefault="00F4598F" w:rsidP="00F4598F">
      <w:pPr>
        <w:pStyle w:val="Heading3"/>
      </w:pPr>
      <w:bookmarkStart w:id="47" w:name="_Toc227074449"/>
      <w:r w:rsidRPr="004A50E3">
        <w:t>Key Message</w:t>
      </w:r>
      <w:r>
        <w:t>s</w:t>
      </w:r>
      <w:r w:rsidRPr="004A50E3">
        <w:t xml:space="preserve"> to Emphasize</w:t>
      </w:r>
      <w:bookmarkEnd w:id="47"/>
    </w:p>
    <w:p w14:paraId="496956B1" w14:textId="77777777" w:rsidR="00F4598F" w:rsidRPr="00576C19" w:rsidRDefault="00F4598F" w:rsidP="00C16313">
      <w:pPr>
        <w:pStyle w:val="ListParagraph"/>
        <w:numPr>
          <w:ilvl w:val="0"/>
          <w:numId w:val="14"/>
        </w:numPr>
      </w:pPr>
      <w:r w:rsidRPr="00576C19">
        <w:t>All seven statements are myths</w:t>
      </w:r>
      <w:r>
        <w:t>. M</w:t>
      </w:r>
      <w:r w:rsidRPr="00576C19">
        <w:t xml:space="preserve">any common assumptions about accessible formats are incorrect and can delay access </w:t>
      </w:r>
      <w:r>
        <w:t xml:space="preserve">and participation </w:t>
      </w:r>
      <w:r w:rsidRPr="00576C19">
        <w:t>for students.</w:t>
      </w:r>
    </w:p>
    <w:p w14:paraId="692FB152" w14:textId="77777777" w:rsidR="00F4598F" w:rsidRDefault="00F4598F" w:rsidP="00C16313">
      <w:pPr>
        <w:pStyle w:val="ListParagraph"/>
        <w:numPr>
          <w:ilvl w:val="0"/>
          <w:numId w:val="14"/>
        </w:numPr>
      </w:pPr>
      <w:r w:rsidRPr="00576C19">
        <w:t>Accessible formats are part of ensuring FAPE</w:t>
      </w:r>
      <w:r>
        <w:t>. T</w:t>
      </w:r>
      <w:r w:rsidRPr="00576C19">
        <w:t xml:space="preserve">hey must be provided in a timely manner and should be considered during IEP development </w:t>
      </w:r>
      <w:r>
        <w:t xml:space="preserve">for all students </w:t>
      </w:r>
      <w:r w:rsidRPr="00576C19">
        <w:t>to avoid delays.</w:t>
      </w:r>
    </w:p>
    <w:p w14:paraId="65B27BA4" w14:textId="77777777" w:rsidR="00F4598F" w:rsidRDefault="00F4598F" w:rsidP="00F4598F">
      <w:pPr>
        <w:pStyle w:val="Heading2"/>
      </w:pPr>
      <w:bookmarkStart w:id="48" w:name="_Toc227074450"/>
      <w:bookmarkStart w:id="49" w:name="_Toc227136506"/>
      <w:r w:rsidRPr="00B4290A">
        <w:t>Resources for Continued Learning</w:t>
      </w:r>
      <w:r>
        <w:t xml:space="preserve"> (slides 35-38)</w:t>
      </w:r>
      <w:bookmarkEnd w:id="48"/>
      <w:bookmarkEnd w:id="49"/>
    </w:p>
    <w:p w14:paraId="0B3E2F27" w14:textId="77777777" w:rsidR="00F4598F" w:rsidRDefault="00F4598F" w:rsidP="00C16313">
      <w:pPr>
        <w:pStyle w:val="ListParagraph"/>
        <w:numPr>
          <w:ilvl w:val="0"/>
          <w:numId w:val="14"/>
        </w:numPr>
      </w:pPr>
      <w:r w:rsidRPr="00752C50">
        <w:rPr>
          <w:b/>
          <w:bCs/>
        </w:rPr>
        <w:t>Slide 35:</w:t>
      </w:r>
      <w:r>
        <w:t xml:space="preserve"> Let’s look at some additional resources for </w:t>
      </w:r>
      <w:proofErr w:type="gramStart"/>
      <w:r>
        <w:t>continued</w:t>
      </w:r>
      <w:proofErr w:type="gramEnd"/>
      <w:r>
        <w:t xml:space="preserve"> learning.</w:t>
      </w:r>
    </w:p>
    <w:p w14:paraId="6BA3A636" w14:textId="77777777" w:rsidR="00F4598F" w:rsidRPr="006A186D" w:rsidRDefault="00F4598F" w:rsidP="00C16313">
      <w:pPr>
        <w:pStyle w:val="ListParagraph"/>
        <w:numPr>
          <w:ilvl w:val="0"/>
          <w:numId w:val="14"/>
        </w:numPr>
      </w:pPr>
      <w:r w:rsidRPr="006A186D">
        <w:rPr>
          <w:b/>
          <w:bCs/>
        </w:rPr>
        <w:t>Slide 36:</w:t>
      </w:r>
      <w:r w:rsidRPr="006A186D">
        <w:t xml:space="preserve"> Review the linked resources</w:t>
      </w:r>
      <w:r>
        <w:t xml:space="preserve"> (share links in the chat if presenting virtually):</w:t>
      </w:r>
    </w:p>
    <w:p w14:paraId="002C448E" w14:textId="28B76CF1" w:rsidR="00F4598F" w:rsidRPr="00391E50" w:rsidRDefault="00F4598F" w:rsidP="00C16313">
      <w:pPr>
        <w:pStyle w:val="ListParagraph"/>
        <w:numPr>
          <w:ilvl w:val="1"/>
          <w:numId w:val="14"/>
        </w:numPr>
      </w:pPr>
      <w:hyperlink r:id="rId32" w:history="1">
        <w:r w:rsidRPr="00620A50">
          <w:rPr>
            <w:rStyle w:val="Hyperlink"/>
          </w:rPr>
          <w:t>Accessible Media Producers</w:t>
        </w:r>
      </w:hyperlink>
      <w:r>
        <w:t xml:space="preserve"> or AMPs are organizations like Bookshare and the American Printing House for the Blind or APH that receive federal and </w:t>
      </w:r>
      <w:r>
        <w:lastRenderedPageBreak/>
        <w:t>state funding to covert materials to accessible formats, such as braille, large print, digital text, and audio.</w:t>
      </w:r>
    </w:p>
    <w:p w14:paraId="3D4EB475" w14:textId="7187F585" w:rsidR="00F4598F" w:rsidRPr="00391E50" w:rsidRDefault="00F4598F" w:rsidP="00C16313">
      <w:pPr>
        <w:pStyle w:val="ListParagraph"/>
        <w:numPr>
          <w:ilvl w:val="1"/>
          <w:numId w:val="14"/>
        </w:numPr>
      </w:pPr>
      <w:hyperlink r:id="rId33" w:history="1">
        <w:r w:rsidRPr="00DA33F6">
          <w:rPr>
            <w:rStyle w:val="Hyperlink"/>
          </w:rPr>
          <w:t>Braille Accessibility in State Assessments: Roles, Responsibilities, and Strategies</w:t>
        </w:r>
      </w:hyperlink>
      <w:r>
        <w:t xml:space="preserve"> is a joint publication of NCADEMI and the OCALI AT &amp; AEM Center. It provides </w:t>
      </w:r>
      <w:r w:rsidRPr="008319CF">
        <w:t>a set of recommended guidelines to enhance the timely delivery and effective use of high-quality braille and tactile graphics for state assessments.</w:t>
      </w:r>
    </w:p>
    <w:p w14:paraId="0F6DC12D" w14:textId="1699668A" w:rsidR="00F4598F" w:rsidRPr="00391E50" w:rsidRDefault="00F4598F" w:rsidP="00C16313">
      <w:pPr>
        <w:pStyle w:val="ListParagraph"/>
        <w:numPr>
          <w:ilvl w:val="1"/>
          <w:numId w:val="14"/>
        </w:numPr>
      </w:pPr>
      <w:hyperlink r:id="rId34" w:history="1">
        <w:r w:rsidRPr="00A86E47">
          <w:rPr>
            <w:rStyle w:val="Hyperlink"/>
          </w:rPr>
          <w:t>State AEM Contact</w:t>
        </w:r>
        <w:r w:rsidR="00A86E47" w:rsidRPr="00A86E47">
          <w:rPr>
            <w:rStyle w:val="Hyperlink"/>
          </w:rPr>
          <w:t>s</w:t>
        </w:r>
      </w:hyperlink>
      <w:r>
        <w:t xml:space="preserve"> can help families and educators obtain accessible formats and provide guidance on the process for eligible students in your state.</w:t>
      </w:r>
    </w:p>
    <w:p w14:paraId="0098A6F4" w14:textId="4540E6BF" w:rsidR="00F4598F" w:rsidRDefault="00F4598F" w:rsidP="00C16313">
      <w:pPr>
        <w:pStyle w:val="ListParagraph"/>
        <w:numPr>
          <w:ilvl w:val="1"/>
          <w:numId w:val="14"/>
        </w:numPr>
      </w:pPr>
      <w:hyperlink r:id="rId35" w:history="1">
        <w:r w:rsidRPr="00FF053B">
          <w:rPr>
            <w:rStyle w:val="Hyperlink"/>
          </w:rPr>
          <w:t>Navigating AEM: Accessible Formats (from the OCALI AT&amp;AEM Center)</w:t>
        </w:r>
      </w:hyperlink>
      <w:r>
        <w:t xml:space="preserve"> is a learning module that provides foundational information about accessible formats as required by IDEA. It would be a great companion resource for this training and for diving deeper into the two types of AEM, determining eligibility, selecting and acquiring the needed format(s), and providing support to students.</w:t>
      </w:r>
    </w:p>
    <w:p w14:paraId="520CA856" w14:textId="3AEAD846" w:rsidR="00F4598F" w:rsidRDefault="00F4598F" w:rsidP="00C16313">
      <w:pPr>
        <w:pStyle w:val="ListParagraph"/>
        <w:numPr>
          <w:ilvl w:val="0"/>
          <w:numId w:val="14"/>
        </w:numPr>
      </w:pPr>
      <w:r w:rsidRPr="006A186D">
        <w:rPr>
          <w:b/>
          <w:bCs/>
        </w:rPr>
        <w:t>Slide 3</w:t>
      </w:r>
      <w:r>
        <w:rPr>
          <w:b/>
          <w:bCs/>
        </w:rPr>
        <w:t>7</w:t>
      </w:r>
      <w:r w:rsidRPr="006A186D">
        <w:rPr>
          <w:b/>
          <w:bCs/>
        </w:rPr>
        <w:t>:</w:t>
      </w:r>
      <w:r w:rsidRPr="006A186D">
        <w:t xml:space="preserve"> </w:t>
      </w:r>
      <w:r>
        <w:t xml:space="preserve">Reach out to NCADEMI with questions about today’s content. </w:t>
      </w:r>
      <w:r w:rsidR="007079D1">
        <w:t>Email</w:t>
      </w:r>
      <w:r>
        <w:t xml:space="preserve"> </w:t>
      </w:r>
      <w:hyperlink r:id="rId36" w:history="1">
        <w:r w:rsidRPr="00425636">
          <w:rPr>
            <w:rStyle w:val="Hyperlink"/>
          </w:rPr>
          <w:t>ncademi@usu.edu</w:t>
        </w:r>
      </w:hyperlink>
      <w:r>
        <w:t xml:space="preserve"> or </w:t>
      </w:r>
      <w:r w:rsidR="007079D1">
        <w:t>call/text</w:t>
      </w:r>
      <w:r>
        <w:t xml:space="preserve"> 435-554-8213. </w:t>
      </w:r>
      <w:hyperlink r:id="rId37" w:history="1">
        <w:r w:rsidRPr="000E240C">
          <w:rPr>
            <w:rStyle w:val="Hyperlink"/>
          </w:rPr>
          <w:t xml:space="preserve">Follow </w:t>
        </w:r>
        <w:r w:rsidR="000B1930" w:rsidRPr="000E240C">
          <w:rPr>
            <w:rStyle w:val="Hyperlink"/>
          </w:rPr>
          <w:t>NCADEMI</w:t>
        </w:r>
        <w:r w:rsidRPr="000E240C">
          <w:rPr>
            <w:rStyle w:val="Hyperlink"/>
          </w:rPr>
          <w:t xml:space="preserve"> on LinkedIn</w:t>
        </w:r>
      </w:hyperlink>
      <w:r>
        <w:t xml:space="preserve"> and </w:t>
      </w:r>
      <w:hyperlink r:id="rId38" w:history="1">
        <w:r w:rsidRPr="00DE79A8">
          <w:rPr>
            <w:rStyle w:val="Hyperlink"/>
          </w:rPr>
          <w:t xml:space="preserve">sign up for </w:t>
        </w:r>
        <w:r w:rsidR="00DE79A8" w:rsidRPr="00DE79A8">
          <w:rPr>
            <w:rStyle w:val="Hyperlink"/>
          </w:rPr>
          <w:t>the Access Point Newsletter</w:t>
        </w:r>
      </w:hyperlink>
      <w:r>
        <w:t xml:space="preserve"> to stay up to date on the latest webinars, resources, and presentations. Please share links in the chat if presenting virtually.</w:t>
      </w:r>
    </w:p>
    <w:p w14:paraId="62443EBB" w14:textId="06C03C35" w:rsidR="00F4598F" w:rsidRDefault="00F4598F" w:rsidP="00C16313">
      <w:pPr>
        <w:pStyle w:val="ListParagraph"/>
        <w:numPr>
          <w:ilvl w:val="0"/>
          <w:numId w:val="14"/>
        </w:numPr>
      </w:pPr>
      <w:r w:rsidRPr="00480A98">
        <w:rPr>
          <w:b/>
          <w:bCs/>
        </w:rPr>
        <w:t>Slide 38:</w:t>
      </w:r>
      <w:r>
        <w:t xml:space="preserve"> Note that session resources are licensed under a Creative Commons License that allows for the materials to be reused and remixed as long as NCADEMI is given credit and that any new materials are provided under the same license.</w:t>
      </w:r>
    </w:p>
    <w:p w14:paraId="27FAF363" w14:textId="2D58FF23" w:rsidR="006E0D2D" w:rsidRPr="001D05C3" w:rsidRDefault="006E0D2D" w:rsidP="006E0D2D">
      <w:pPr>
        <w:pStyle w:val="Heading2"/>
      </w:pPr>
      <w:bookmarkStart w:id="50" w:name="_Toc227074451"/>
      <w:bookmarkStart w:id="51" w:name="_Toc227136507"/>
      <w:r w:rsidRPr="001D05C3">
        <w:t xml:space="preserve">Recommended </w:t>
      </w:r>
      <w:r w:rsidR="00882F06">
        <w:t>C</w:t>
      </w:r>
      <w:r w:rsidRPr="001D05C3">
        <w:t>itation</w:t>
      </w:r>
      <w:bookmarkEnd w:id="18"/>
      <w:bookmarkEnd w:id="50"/>
      <w:bookmarkEnd w:id="51"/>
    </w:p>
    <w:p w14:paraId="5148CA8B" w14:textId="09F939AE" w:rsidR="006E0D2D" w:rsidRPr="00882F06" w:rsidRDefault="00FC329E" w:rsidP="006E0D2D">
      <w:r w:rsidRPr="001D05C3">
        <w:t xml:space="preserve">National Center on Accessible Digital Educational Materials &amp; Instruction. (2024, October). </w:t>
      </w:r>
      <w:r w:rsidR="00B120DE">
        <w:rPr>
          <w:i/>
          <w:iCs/>
        </w:rPr>
        <w:t>More to the Myths and Facts Training Guide</w:t>
      </w:r>
      <w:r w:rsidRPr="001D05C3">
        <w:rPr>
          <w:i/>
          <w:iCs/>
        </w:rPr>
        <w:t>.</w:t>
      </w:r>
      <w:r w:rsidRPr="001D05C3">
        <w:t xml:space="preserve"> </w:t>
      </w:r>
      <w:r w:rsidRPr="00882F06">
        <w:t>Logan, U</w:t>
      </w:r>
      <w:r w:rsidR="00B120DE" w:rsidRPr="00882F06">
        <w:t>T. https://ncademi.org/provide/formats/iep/aem-guide/</w:t>
      </w:r>
    </w:p>
    <w:sectPr w:rsidR="006E0D2D" w:rsidRPr="00882F06" w:rsidSect="007871C9">
      <w:footerReference w:type="default" r:id="rId39"/>
      <w:pgSz w:w="12240" w:h="15840"/>
      <w:pgMar w:top="1220" w:right="1440" w:bottom="1440" w:left="1440" w:header="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A03A2" w14:textId="77777777" w:rsidR="00FD011F" w:rsidRDefault="00FD011F" w:rsidP="00CC7B8E">
      <w:r>
        <w:separator/>
      </w:r>
    </w:p>
  </w:endnote>
  <w:endnote w:type="continuationSeparator" w:id="0">
    <w:p w14:paraId="5A13BAA8" w14:textId="77777777" w:rsidR="00FD011F" w:rsidRDefault="00FD011F" w:rsidP="00CC7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useo Slab 300">
    <w:altName w:val="Calibri"/>
    <w:panose1 w:val="00000000000000000000"/>
    <w:charset w:val="4D"/>
    <w:family w:val="auto"/>
    <w:notTrueType/>
    <w:pitch w:val="variable"/>
    <w:sig w:usb0="A00000AF" w:usb1="40000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02017658"/>
      <w:docPartObj>
        <w:docPartGallery w:val="Page Numbers (Bottom of Page)"/>
        <w:docPartUnique/>
      </w:docPartObj>
    </w:sdtPr>
    <w:sdtContent>
      <w:p w14:paraId="6E72FD9C" w14:textId="3D5AEC43" w:rsidR="00CA38ED" w:rsidRDefault="00CA38ED" w:rsidP="00AF79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CE0BCC" w14:textId="77777777" w:rsidR="00CA38ED" w:rsidRDefault="00CA38ED" w:rsidP="00CA38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C5461" w14:textId="34826C51" w:rsidR="00CA38ED" w:rsidRPr="00480A98" w:rsidRDefault="00480A98" w:rsidP="00480A98">
    <w:pPr>
      <w:pStyle w:val="Title"/>
    </w:pPr>
    <w:r w:rsidRPr="00F4598F">
      <w:rPr>
        <w:rFonts w:asciiTheme="minorHAnsi" w:hAnsiTheme="minorHAnsi"/>
        <w:b w:val="0"/>
        <w:bCs w:val="0"/>
        <w:sz w:val="18"/>
        <w:szCs w:val="18"/>
      </w:rPr>
      <mc:AlternateContent>
        <mc:Choice Requires="wps">
          <w:drawing>
            <wp:anchor distT="0" distB="0" distL="114300" distR="114300" simplePos="0" relativeHeight="251658242" behindDoc="0" locked="0" layoutInCell="1" allowOverlap="1" wp14:anchorId="06DD2F6D" wp14:editId="6E711B9F">
              <wp:simplePos x="0" y="0"/>
              <wp:positionH relativeFrom="column">
                <wp:posOffset>-419100</wp:posOffset>
              </wp:positionH>
              <wp:positionV relativeFrom="paragraph">
                <wp:posOffset>-297180</wp:posOffset>
              </wp:positionV>
              <wp:extent cx="6858000" cy="0"/>
              <wp:effectExtent l="0" t="0" r="12700" b="12700"/>
              <wp:wrapNone/>
              <wp:docPr id="425171148"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58000" cy="0"/>
                      </a:xfrm>
                      <a:prstGeom prst="line">
                        <a:avLst/>
                      </a:prstGeom>
                      <a:ln>
                        <a:solidFill>
                          <a:srgbClr val="D87C2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05911F43" id="Straight Connector 2" o:spid="_x0000_s1026" alt="&quot;&quot;"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3pt,-23.4pt" to="507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" strokecolor="#d87c28" strokeweight=".5pt">
              <v:stroke joinstyle="miter"/>
            </v:line>
          </w:pict>
        </mc:Fallback>
      </mc:AlternateContent>
    </w:r>
    <w:r w:rsidRPr="00F4598F">
      <w:rPr>
        <w:rFonts w:asciiTheme="minorHAnsi" w:hAnsiTheme="minorHAnsi"/>
        <w:b w:val="0"/>
        <w:bCs w:val="0"/>
        <w:sz w:val="18"/>
        <w:szCs w:val="18"/>
      </w:rPr>
      <w:t>More to the Myths &amp; Facts Training Guide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4C99C" w14:textId="4BF85F10" w:rsidR="005059DD" w:rsidRPr="00307F1E" w:rsidRDefault="005059DD" w:rsidP="0056460F">
    <w:pPr>
      <w:pStyle w:val="Footer"/>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445470"/>
      <w:docPartObj>
        <w:docPartGallery w:val="Page Numbers (Bottom of Page)"/>
        <w:docPartUnique/>
      </w:docPartObj>
    </w:sdtPr>
    <w:sdtContent>
      <w:p w14:paraId="16D16172" w14:textId="77777777" w:rsidR="00533609" w:rsidRDefault="0053360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79942189" w14:textId="26C01403" w:rsidR="00533609" w:rsidRPr="00F4598F" w:rsidRDefault="00533609" w:rsidP="00537FB4">
    <w:pPr>
      <w:pStyle w:val="Title"/>
      <w:rPr>
        <w:rFonts w:asciiTheme="minorHAnsi" w:hAnsiTheme="minorHAnsi"/>
        <w:b w:val="0"/>
        <w:bCs w:val="0"/>
        <w:sz w:val="18"/>
        <w:szCs w:val="18"/>
      </w:rPr>
    </w:pPr>
    <w:r w:rsidRPr="00F4598F">
      <w:rPr>
        <w:rFonts w:asciiTheme="minorHAnsi" w:hAnsiTheme="minorHAnsi"/>
        <w:b w:val="0"/>
        <w:bCs w:val="0"/>
        <w:sz w:val="18"/>
        <w:szCs w:val="18"/>
      </w:rPr>
      <mc:AlternateContent>
        <mc:Choice Requires="wps">
          <w:drawing>
            <wp:anchor distT="0" distB="0" distL="114300" distR="114300" simplePos="0" relativeHeight="251658241" behindDoc="0" locked="0" layoutInCell="1" allowOverlap="1" wp14:anchorId="42D77DC7" wp14:editId="6001229E">
              <wp:simplePos x="0" y="0"/>
              <wp:positionH relativeFrom="column">
                <wp:posOffset>-419100</wp:posOffset>
              </wp:positionH>
              <wp:positionV relativeFrom="paragraph">
                <wp:posOffset>-297180</wp:posOffset>
              </wp:positionV>
              <wp:extent cx="6858000" cy="0"/>
              <wp:effectExtent l="0" t="0" r="12700" b="12700"/>
              <wp:wrapNone/>
              <wp:docPr id="19457852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58000" cy="0"/>
                      </a:xfrm>
                      <a:prstGeom prst="line">
                        <a:avLst/>
                      </a:prstGeom>
                      <a:ln>
                        <a:solidFill>
                          <a:srgbClr val="D87C2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dec="http://schemas.microsoft.com/office/drawing/2017/decorative" xmlns:a="http://schemas.openxmlformats.org/drawingml/2006/main">
          <w:pict>
            <v:line id="Straight Connector 2" style="position:absolute;z-index:251665408;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d87c28" strokeweight=".5pt" from="-33pt,-23.4pt" to="507pt,-23.4pt" w14:anchorId="4C70E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">
              <v:stroke joinstyle="miter"/>
            </v:line>
          </w:pict>
        </mc:Fallback>
      </mc:AlternateContent>
    </w:r>
    <w:r w:rsidR="00F4598F" w:rsidRPr="00F4598F">
      <w:rPr>
        <w:rFonts w:asciiTheme="minorHAnsi" w:hAnsiTheme="minorHAnsi"/>
        <w:b w:val="0"/>
        <w:bCs w:val="0"/>
        <w:sz w:val="18"/>
        <w:szCs w:val="18"/>
      </w:rPr>
      <w:t>More to the Myths &amp; Facts Training 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C792D" w14:textId="77777777" w:rsidR="00FD011F" w:rsidRDefault="00FD011F" w:rsidP="00CC7B8E">
      <w:r>
        <w:separator/>
      </w:r>
    </w:p>
  </w:footnote>
  <w:footnote w:type="continuationSeparator" w:id="0">
    <w:p w14:paraId="3BF2F5A7" w14:textId="77777777" w:rsidR="00FD011F" w:rsidRDefault="00FD011F" w:rsidP="00CC7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9EA31" w14:textId="55EDC3D3" w:rsidR="00CC7B8E" w:rsidRPr="005059DD" w:rsidRDefault="0056460F" w:rsidP="0056460F">
    <w:pPr>
      <w:pStyle w:val="Footer"/>
      <w:jc w:val="center"/>
      <w:rPr>
        <w:u w:val="single"/>
      </w:rPr>
    </w:pPr>
    <w:r w:rsidRPr="00675A40">
      <mc:AlternateContent>
        <mc:Choice Requires="wps">
          <w:drawing>
            <wp:anchor distT="0" distB="0" distL="114300" distR="114300" simplePos="0" relativeHeight="251658240" behindDoc="0" locked="0" layoutInCell="1" allowOverlap="1" wp14:anchorId="3134C694" wp14:editId="1E2CFBD7">
              <wp:simplePos x="0" y="0"/>
              <wp:positionH relativeFrom="column">
                <wp:posOffset>-482600</wp:posOffset>
              </wp:positionH>
              <wp:positionV relativeFrom="paragraph">
                <wp:posOffset>774700</wp:posOffset>
              </wp:positionV>
              <wp:extent cx="6858000" cy="0"/>
              <wp:effectExtent l="0" t="0" r="12700" b="12700"/>
              <wp:wrapNone/>
              <wp:docPr id="54035120"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58000" cy="0"/>
                      </a:xfrm>
                      <a:prstGeom prst="line">
                        <a:avLst/>
                      </a:prstGeom>
                      <a:ln>
                        <a:solidFill>
                          <a:srgbClr val="D87C28"/>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line id="Straight Connector 2" style="position:absolute;z-index:251663360;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d87c28" strokeweight=".5pt" from="-38pt,61pt" to="502pt,61pt" w14:anchorId="62D186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">
              <v:stroke joinstyle="miter"/>
            </v:line>
          </w:pict>
        </mc:Fallback>
      </mc:AlternateContent>
    </w:r>
    <w:r>
      <w:drawing>
        <wp:inline distT="0" distB="0" distL="0" distR="0" wp14:anchorId="5E9FAB8D" wp14:editId="78452D79">
          <wp:extent cx="2540000" cy="825500"/>
          <wp:effectExtent l="0" t="0" r="0" b="0"/>
          <wp:docPr id="1097590218"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558115"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540000" cy="8255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CD892" w14:textId="72587BB2" w:rsidR="0056460F" w:rsidRDefault="0056460F" w:rsidP="0056460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B4710"/>
    <w:multiLevelType w:val="multilevel"/>
    <w:tmpl w:val="83E2E7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2082B"/>
    <w:multiLevelType w:val="hybridMultilevel"/>
    <w:tmpl w:val="329A9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D056A"/>
    <w:multiLevelType w:val="hybridMultilevel"/>
    <w:tmpl w:val="BDEA4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F4EDF"/>
    <w:multiLevelType w:val="multilevel"/>
    <w:tmpl w:val="16786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FD7514"/>
    <w:multiLevelType w:val="hybridMultilevel"/>
    <w:tmpl w:val="2F227278"/>
    <w:lvl w:ilvl="0" w:tplc="015C6882">
      <w:start w:val="1"/>
      <w:numFmt w:val="bullet"/>
      <w:lvlText w:val=""/>
      <w:lvlJc w:val="left"/>
      <w:pPr>
        <w:ind w:left="720" w:hanging="360"/>
      </w:pPr>
      <w:rPr>
        <w:rFonts w:ascii="Symbol" w:hAnsi="Symbol" w:hint="default"/>
      </w:rPr>
    </w:lvl>
    <w:lvl w:ilvl="1" w:tplc="9FFC0E76">
      <w:start w:val="1"/>
      <w:numFmt w:val="bullet"/>
      <w:lvlText w:val="o"/>
      <w:lvlJc w:val="left"/>
      <w:pPr>
        <w:ind w:left="1440" w:hanging="360"/>
      </w:pPr>
      <w:rPr>
        <w:rFonts w:ascii="Courier New" w:hAnsi="Courier New" w:hint="default"/>
      </w:rPr>
    </w:lvl>
    <w:lvl w:ilvl="2" w:tplc="0BA89614">
      <w:start w:val="1"/>
      <w:numFmt w:val="bullet"/>
      <w:lvlText w:val=""/>
      <w:lvlJc w:val="left"/>
      <w:pPr>
        <w:ind w:left="2160" w:hanging="360"/>
      </w:pPr>
      <w:rPr>
        <w:rFonts w:ascii="Wingdings" w:hAnsi="Wingdings" w:hint="default"/>
      </w:rPr>
    </w:lvl>
    <w:lvl w:ilvl="3" w:tplc="E0E0966C">
      <w:start w:val="1"/>
      <w:numFmt w:val="bullet"/>
      <w:lvlText w:val=""/>
      <w:lvlJc w:val="left"/>
      <w:pPr>
        <w:ind w:left="2880" w:hanging="360"/>
      </w:pPr>
      <w:rPr>
        <w:rFonts w:ascii="Symbol" w:hAnsi="Symbol" w:hint="default"/>
      </w:rPr>
    </w:lvl>
    <w:lvl w:ilvl="4" w:tplc="22301524">
      <w:start w:val="1"/>
      <w:numFmt w:val="bullet"/>
      <w:lvlText w:val="o"/>
      <w:lvlJc w:val="left"/>
      <w:pPr>
        <w:ind w:left="3600" w:hanging="360"/>
      </w:pPr>
      <w:rPr>
        <w:rFonts w:ascii="Courier New" w:hAnsi="Courier New" w:hint="default"/>
      </w:rPr>
    </w:lvl>
    <w:lvl w:ilvl="5" w:tplc="5704B7E6">
      <w:start w:val="1"/>
      <w:numFmt w:val="bullet"/>
      <w:lvlText w:val=""/>
      <w:lvlJc w:val="left"/>
      <w:pPr>
        <w:ind w:left="4320" w:hanging="360"/>
      </w:pPr>
      <w:rPr>
        <w:rFonts w:ascii="Wingdings" w:hAnsi="Wingdings" w:hint="default"/>
      </w:rPr>
    </w:lvl>
    <w:lvl w:ilvl="6" w:tplc="7B6EAF78">
      <w:start w:val="1"/>
      <w:numFmt w:val="bullet"/>
      <w:lvlText w:val=""/>
      <w:lvlJc w:val="left"/>
      <w:pPr>
        <w:ind w:left="5040" w:hanging="360"/>
      </w:pPr>
      <w:rPr>
        <w:rFonts w:ascii="Symbol" w:hAnsi="Symbol" w:hint="default"/>
      </w:rPr>
    </w:lvl>
    <w:lvl w:ilvl="7" w:tplc="45788F90">
      <w:start w:val="1"/>
      <w:numFmt w:val="bullet"/>
      <w:lvlText w:val="o"/>
      <w:lvlJc w:val="left"/>
      <w:pPr>
        <w:ind w:left="5760" w:hanging="360"/>
      </w:pPr>
      <w:rPr>
        <w:rFonts w:ascii="Courier New" w:hAnsi="Courier New" w:hint="default"/>
      </w:rPr>
    </w:lvl>
    <w:lvl w:ilvl="8" w:tplc="FB00C7A2">
      <w:start w:val="1"/>
      <w:numFmt w:val="bullet"/>
      <w:lvlText w:val=""/>
      <w:lvlJc w:val="left"/>
      <w:pPr>
        <w:ind w:left="6480" w:hanging="360"/>
      </w:pPr>
      <w:rPr>
        <w:rFonts w:ascii="Wingdings" w:hAnsi="Wingdings" w:hint="default"/>
      </w:rPr>
    </w:lvl>
  </w:abstractNum>
  <w:abstractNum w:abstractNumId="5" w15:restartNumberingAfterBreak="0">
    <w:nsid w:val="2126714B"/>
    <w:multiLevelType w:val="hybridMultilevel"/>
    <w:tmpl w:val="30DE3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E3106F"/>
    <w:multiLevelType w:val="hybridMultilevel"/>
    <w:tmpl w:val="A9D4B768"/>
    <w:lvl w:ilvl="0" w:tplc="C42ECB5C">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D4186"/>
    <w:multiLevelType w:val="hybridMultilevel"/>
    <w:tmpl w:val="E982A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0F442F"/>
    <w:multiLevelType w:val="hybridMultilevel"/>
    <w:tmpl w:val="E24AF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BB0ED7"/>
    <w:multiLevelType w:val="hybridMultilevel"/>
    <w:tmpl w:val="72C2092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3F61080"/>
    <w:multiLevelType w:val="hybridMultilevel"/>
    <w:tmpl w:val="7D468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A12CA6"/>
    <w:multiLevelType w:val="hybridMultilevel"/>
    <w:tmpl w:val="528ACE56"/>
    <w:lvl w:ilvl="0" w:tplc="C77A25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AE4ED6"/>
    <w:multiLevelType w:val="hybridMultilevel"/>
    <w:tmpl w:val="53262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200026"/>
    <w:multiLevelType w:val="hybridMultilevel"/>
    <w:tmpl w:val="AB92A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F24493"/>
    <w:multiLevelType w:val="hybridMultilevel"/>
    <w:tmpl w:val="0A142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23768A"/>
    <w:multiLevelType w:val="hybridMultilevel"/>
    <w:tmpl w:val="B7DC2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407077"/>
    <w:multiLevelType w:val="hybridMultilevel"/>
    <w:tmpl w:val="B6EE60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CD558F3"/>
    <w:multiLevelType w:val="multilevel"/>
    <w:tmpl w:val="83E2E7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2849A4"/>
    <w:multiLevelType w:val="hybridMultilevel"/>
    <w:tmpl w:val="C1E64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F82ED0"/>
    <w:multiLevelType w:val="hybridMultilevel"/>
    <w:tmpl w:val="5C605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507125"/>
    <w:multiLevelType w:val="hybridMultilevel"/>
    <w:tmpl w:val="7AB27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7340BD"/>
    <w:multiLevelType w:val="hybridMultilevel"/>
    <w:tmpl w:val="889A0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42048E"/>
    <w:multiLevelType w:val="multilevel"/>
    <w:tmpl w:val="E0D6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6957DE"/>
    <w:multiLevelType w:val="hybridMultilevel"/>
    <w:tmpl w:val="2B60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AA340E"/>
    <w:multiLevelType w:val="hybridMultilevel"/>
    <w:tmpl w:val="82F8EB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32F131A"/>
    <w:multiLevelType w:val="hybridMultilevel"/>
    <w:tmpl w:val="116A9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0052835">
    <w:abstractNumId w:val="5"/>
  </w:num>
  <w:num w:numId="2" w16cid:durableId="1924873781">
    <w:abstractNumId w:val="9"/>
  </w:num>
  <w:num w:numId="3" w16cid:durableId="34622177">
    <w:abstractNumId w:val="4"/>
  </w:num>
  <w:num w:numId="4" w16cid:durableId="250092118">
    <w:abstractNumId w:val="14"/>
  </w:num>
  <w:num w:numId="5" w16cid:durableId="1054309105">
    <w:abstractNumId w:val="23"/>
  </w:num>
  <w:num w:numId="6" w16cid:durableId="84158932">
    <w:abstractNumId w:val="11"/>
  </w:num>
  <w:num w:numId="7" w16cid:durableId="772436781">
    <w:abstractNumId w:val="18"/>
  </w:num>
  <w:num w:numId="8" w16cid:durableId="234167385">
    <w:abstractNumId w:val="16"/>
  </w:num>
  <w:num w:numId="9" w16cid:durableId="225190913">
    <w:abstractNumId w:val="24"/>
  </w:num>
  <w:num w:numId="10" w16cid:durableId="1858424539">
    <w:abstractNumId w:val="17"/>
  </w:num>
  <w:num w:numId="11" w16cid:durableId="1154564519">
    <w:abstractNumId w:val="22"/>
  </w:num>
  <w:num w:numId="12" w16cid:durableId="1050114627">
    <w:abstractNumId w:val="3"/>
  </w:num>
  <w:num w:numId="13" w16cid:durableId="260719910">
    <w:abstractNumId w:val="0"/>
  </w:num>
  <w:num w:numId="14" w16cid:durableId="1166287252">
    <w:abstractNumId w:val="20"/>
  </w:num>
  <w:num w:numId="15" w16cid:durableId="1944216563">
    <w:abstractNumId w:val="8"/>
  </w:num>
  <w:num w:numId="16" w16cid:durableId="1092362030">
    <w:abstractNumId w:val="21"/>
  </w:num>
  <w:num w:numId="17" w16cid:durableId="957880384">
    <w:abstractNumId w:val="25"/>
  </w:num>
  <w:num w:numId="18" w16cid:durableId="1706560953">
    <w:abstractNumId w:val="2"/>
  </w:num>
  <w:num w:numId="19" w16cid:durableId="1835604514">
    <w:abstractNumId w:val="13"/>
  </w:num>
  <w:num w:numId="20" w16cid:durableId="457990828">
    <w:abstractNumId w:val="10"/>
  </w:num>
  <w:num w:numId="21" w16cid:durableId="1559171667">
    <w:abstractNumId w:val="7"/>
  </w:num>
  <w:num w:numId="22" w16cid:durableId="398863331">
    <w:abstractNumId w:val="19"/>
  </w:num>
  <w:num w:numId="23" w16cid:durableId="1081566983">
    <w:abstractNumId w:val="15"/>
  </w:num>
  <w:num w:numId="24" w16cid:durableId="1278411193">
    <w:abstractNumId w:val="12"/>
  </w:num>
  <w:num w:numId="25" w16cid:durableId="2095854992">
    <w:abstractNumId w:val="1"/>
  </w:num>
  <w:num w:numId="26" w16cid:durableId="3384295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540"/>
    <w:rsid w:val="000010E7"/>
    <w:rsid w:val="00003563"/>
    <w:rsid w:val="0000408A"/>
    <w:rsid w:val="00006D8C"/>
    <w:rsid w:val="00015426"/>
    <w:rsid w:val="000215D6"/>
    <w:rsid w:val="00023008"/>
    <w:rsid w:val="00023DE6"/>
    <w:rsid w:val="0004011B"/>
    <w:rsid w:val="00044904"/>
    <w:rsid w:val="00045FF5"/>
    <w:rsid w:val="00055B5A"/>
    <w:rsid w:val="00072379"/>
    <w:rsid w:val="00076020"/>
    <w:rsid w:val="000813C2"/>
    <w:rsid w:val="00087CEE"/>
    <w:rsid w:val="00095CD8"/>
    <w:rsid w:val="00096153"/>
    <w:rsid w:val="000A043A"/>
    <w:rsid w:val="000B1930"/>
    <w:rsid w:val="000B730C"/>
    <w:rsid w:val="000E240C"/>
    <w:rsid w:val="00100DD9"/>
    <w:rsid w:val="00104515"/>
    <w:rsid w:val="00104C11"/>
    <w:rsid w:val="001060C9"/>
    <w:rsid w:val="001136F3"/>
    <w:rsid w:val="00114F64"/>
    <w:rsid w:val="00123705"/>
    <w:rsid w:val="00127BD4"/>
    <w:rsid w:val="0014280E"/>
    <w:rsid w:val="001438D5"/>
    <w:rsid w:val="001458FD"/>
    <w:rsid w:val="001575A2"/>
    <w:rsid w:val="00170A2E"/>
    <w:rsid w:val="00177D9D"/>
    <w:rsid w:val="0018223E"/>
    <w:rsid w:val="001940FC"/>
    <w:rsid w:val="001A2372"/>
    <w:rsid w:val="001B27F0"/>
    <w:rsid w:val="001C6C56"/>
    <w:rsid w:val="001D05C3"/>
    <w:rsid w:val="001E2104"/>
    <w:rsid w:val="001E6686"/>
    <w:rsid w:val="001E7309"/>
    <w:rsid w:val="001F42AB"/>
    <w:rsid w:val="001F6E9C"/>
    <w:rsid w:val="001F791E"/>
    <w:rsid w:val="0021128F"/>
    <w:rsid w:val="002239E4"/>
    <w:rsid w:val="00247E98"/>
    <w:rsid w:val="0026442E"/>
    <w:rsid w:val="00265DCE"/>
    <w:rsid w:val="00277227"/>
    <w:rsid w:val="0028140D"/>
    <w:rsid w:val="00290A2C"/>
    <w:rsid w:val="002A4350"/>
    <w:rsid w:val="002A55FD"/>
    <w:rsid w:val="002A5EBD"/>
    <w:rsid w:val="002A6DF9"/>
    <w:rsid w:val="002B1288"/>
    <w:rsid w:val="002B5A20"/>
    <w:rsid w:val="002D0059"/>
    <w:rsid w:val="002D355A"/>
    <w:rsid w:val="002D7B91"/>
    <w:rsid w:val="002E1453"/>
    <w:rsid w:val="002E444F"/>
    <w:rsid w:val="002F47E3"/>
    <w:rsid w:val="002F5657"/>
    <w:rsid w:val="003018CB"/>
    <w:rsid w:val="00301F0E"/>
    <w:rsid w:val="0030600B"/>
    <w:rsid w:val="00307F1E"/>
    <w:rsid w:val="00310EFF"/>
    <w:rsid w:val="0032307A"/>
    <w:rsid w:val="00327D2D"/>
    <w:rsid w:val="0033219D"/>
    <w:rsid w:val="00346181"/>
    <w:rsid w:val="0034734E"/>
    <w:rsid w:val="00354CCA"/>
    <w:rsid w:val="00372C89"/>
    <w:rsid w:val="00377603"/>
    <w:rsid w:val="00385442"/>
    <w:rsid w:val="003918EE"/>
    <w:rsid w:val="00392D69"/>
    <w:rsid w:val="00397A2A"/>
    <w:rsid w:val="003A15F9"/>
    <w:rsid w:val="003A3237"/>
    <w:rsid w:val="003B5662"/>
    <w:rsid w:val="003C5879"/>
    <w:rsid w:val="003D38B8"/>
    <w:rsid w:val="003D7ADF"/>
    <w:rsid w:val="003D7E02"/>
    <w:rsid w:val="003E5130"/>
    <w:rsid w:val="003E71B1"/>
    <w:rsid w:val="003F445D"/>
    <w:rsid w:val="003F5FFF"/>
    <w:rsid w:val="003F6720"/>
    <w:rsid w:val="00406DE5"/>
    <w:rsid w:val="00420078"/>
    <w:rsid w:val="00423B81"/>
    <w:rsid w:val="0043497C"/>
    <w:rsid w:val="00456EF8"/>
    <w:rsid w:val="00460405"/>
    <w:rsid w:val="004762A6"/>
    <w:rsid w:val="00480A98"/>
    <w:rsid w:val="004933C7"/>
    <w:rsid w:val="004A1055"/>
    <w:rsid w:val="004A5F59"/>
    <w:rsid w:val="004C210D"/>
    <w:rsid w:val="004E210D"/>
    <w:rsid w:val="004E5FEA"/>
    <w:rsid w:val="004F47D9"/>
    <w:rsid w:val="004F61EC"/>
    <w:rsid w:val="0050068D"/>
    <w:rsid w:val="005059DD"/>
    <w:rsid w:val="00505BC8"/>
    <w:rsid w:val="00516B43"/>
    <w:rsid w:val="00520232"/>
    <w:rsid w:val="00524446"/>
    <w:rsid w:val="00524E46"/>
    <w:rsid w:val="00531268"/>
    <w:rsid w:val="00532257"/>
    <w:rsid w:val="00533609"/>
    <w:rsid w:val="00537FB4"/>
    <w:rsid w:val="0056460F"/>
    <w:rsid w:val="00572094"/>
    <w:rsid w:val="005749FD"/>
    <w:rsid w:val="00582260"/>
    <w:rsid w:val="005838ED"/>
    <w:rsid w:val="005864A2"/>
    <w:rsid w:val="00587CF2"/>
    <w:rsid w:val="00593E9D"/>
    <w:rsid w:val="00597974"/>
    <w:rsid w:val="005A0473"/>
    <w:rsid w:val="005A4681"/>
    <w:rsid w:val="005A5027"/>
    <w:rsid w:val="005A581A"/>
    <w:rsid w:val="005A6685"/>
    <w:rsid w:val="005C1CD3"/>
    <w:rsid w:val="005C3188"/>
    <w:rsid w:val="005C707D"/>
    <w:rsid w:val="005D18A6"/>
    <w:rsid w:val="005D1CD5"/>
    <w:rsid w:val="005E02E8"/>
    <w:rsid w:val="005F1D1B"/>
    <w:rsid w:val="005F5020"/>
    <w:rsid w:val="005F68B4"/>
    <w:rsid w:val="005F7756"/>
    <w:rsid w:val="005F7AF9"/>
    <w:rsid w:val="00602387"/>
    <w:rsid w:val="00603889"/>
    <w:rsid w:val="00607107"/>
    <w:rsid w:val="0061031F"/>
    <w:rsid w:val="00620A50"/>
    <w:rsid w:val="00634296"/>
    <w:rsid w:val="00652131"/>
    <w:rsid w:val="006605A0"/>
    <w:rsid w:val="0066458E"/>
    <w:rsid w:val="0066660D"/>
    <w:rsid w:val="00675A40"/>
    <w:rsid w:val="00692214"/>
    <w:rsid w:val="00693771"/>
    <w:rsid w:val="006A01BA"/>
    <w:rsid w:val="006A0216"/>
    <w:rsid w:val="006A5144"/>
    <w:rsid w:val="006E0D2D"/>
    <w:rsid w:val="006E2D60"/>
    <w:rsid w:val="006F77D7"/>
    <w:rsid w:val="006F7E35"/>
    <w:rsid w:val="00703651"/>
    <w:rsid w:val="007079D1"/>
    <w:rsid w:val="00771AD6"/>
    <w:rsid w:val="007871C9"/>
    <w:rsid w:val="007937DF"/>
    <w:rsid w:val="007B1B97"/>
    <w:rsid w:val="007D2738"/>
    <w:rsid w:val="007D7AAA"/>
    <w:rsid w:val="007E5B37"/>
    <w:rsid w:val="007E6553"/>
    <w:rsid w:val="007E6FC0"/>
    <w:rsid w:val="007F07E6"/>
    <w:rsid w:val="00802DEF"/>
    <w:rsid w:val="00803DA1"/>
    <w:rsid w:val="00837458"/>
    <w:rsid w:val="00844387"/>
    <w:rsid w:val="00873B13"/>
    <w:rsid w:val="00882F06"/>
    <w:rsid w:val="008A1C91"/>
    <w:rsid w:val="008B587E"/>
    <w:rsid w:val="008B7EC8"/>
    <w:rsid w:val="008C5904"/>
    <w:rsid w:val="008D573F"/>
    <w:rsid w:val="008D6DAF"/>
    <w:rsid w:val="008E2EBB"/>
    <w:rsid w:val="008E660B"/>
    <w:rsid w:val="00906F5F"/>
    <w:rsid w:val="00913B1F"/>
    <w:rsid w:val="00913F4D"/>
    <w:rsid w:val="00930BF5"/>
    <w:rsid w:val="00932251"/>
    <w:rsid w:val="00935A3B"/>
    <w:rsid w:val="00936973"/>
    <w:rsid w:val="00946818"/>
    <w:rsid w:val="00947F1B"/>
    <w:rsid w:val="00952FD6"/>
    <w:rsid w:val="00955C77"/>
    <w:rsid w:val="009A52C8"/>
    <w:rsid w:val="009A7095"/>
    <w:rsid w:val="009C35FD"/>
    <w:rsid w:val="009C6FF2"/>
    <w:rsid w:val="009F48CC"/>
    <w:rsid w:val="00A00321"/>
    <w:rsid w:val="00A035D2"/>
    <w:rsid w:val="00A139FD"/>
    <w:rsid w:val="00A374F3"/>
    <w:rsid w:val="00A55815"/>
    <w:rsid w:val="00A6513D"/>
    <w:rsid w:val="00A67540"/>
    <w:rsid w:val="00A71FA3"/>
    <w:rsid w:val="00A86E47"/>
    <w:rsid w:val="00AB4F65"/>
    <w:rsid w:val="00AC4570"/>
    <w:rsid w:val="00AD1C51"/>
    <w:rsid w:val="00AD31F8"/>
    <w:rsid w:val="00AE4AF0"/>
    <w:rsid w:val="00AF4B83"/>
    <w:rsid w:val="00AF79B5"/>
    <w:rsid w:val="00B06A5A"/>
    <w:rsid w:val="00B120DE"/>
    <w:rsid w:val="00B254A9"/>
    <w:rsid w:val="00B3408D"/>
    <w:rsid w:val="00B420D6"/>
    <w:rsid w:val="00B449C2"/>
    <w:rsid w:val="00B50D91"/>
    <w:rsid w:val="00B6063A"/>
    <w:rsid w:val="00B667AD"/>
    <w:rsid w:val="00B66C02"/>
    <w:rsid w:val="00B73C50"/>
    <w:rsid w:val="00B85993"/>
    <w:rsid w:val="00B93CF0"/>
    <w:rsid w:val="00BB4C98"/>
    <w:rsid w:val="00BC05D3"/>
    <w:rsid w:val="00BE75B2"/>
    <w:rsid w:val="00BF49F4"/>
    <w:rsid w:val="00C16313"/>
    <w:rsid w:val="00C239C7"/>
    <w:rsid w:val="00C23D2B"/>
    <w:rsid w:val="00C5281B"/>
    <w:rsid w:val="00C66672"/>
    <w:rsid w:val="00C66F82"/>
    <w:rsid w:val="00C6768E"/>
    <w:rsid w:val="00C677A9"/>
    <w:rsid w:val="00C714C6"/>
    <w:rsid w:val="00C95629"/>
    <w:rsid w:val="00CA38ED"/>
    <w:rsid w:val="00CA5691"/>
    <w:rsid w:val="00CA647E"/>
    <w:rsid w:val="00CC1AA0"/>
    <w:rsid w:val="00CC42B1"/>
    <w:rsid w:val="00CC7B8E"/>
    <w:rsid w:val="00CD5219"/>
    <w:rsid w:val="00CF4D76"/>
    <w:rsid w:val="00D040CE"/>
    <w:rsid w:val="00D13266"/>
    <w:rsid w:val="00D20EEF"/>
    <w:rsid w:val="00D244C1"/>
    <w:rsid w:val="00D3565B"/>
    <w:rsid w:val="00D364E1"/>
    <w:rsid w:val="00D6043A"/>
    <w:rsid w:val="00D77B5A"/>
    <w:rsid w:val="00D96B2C"/>
    <w:rsid w:val="00DA3195"/>
    <w:rsid w:val="00DA33F6"/>
    <w:rsid w:val="00DB170A"/>
    <w:rsid w:val="00DB3687"/>
    <w:rsid w:val="00DB7B55"/>
    <w:rsid w:val="00DD3326"/>
    <w:rsid w:val="00DE79A8"/>
    <w:rsid w:val="00E13ED8"/>
    <w:rsid w:val="00E25953"/>
    <w:rsid w:val="00E26D7F"/>
    <w:rsid w:val="00E40AAB"/>
    <w:rsid w:val="00E4210A"/>
    <w:rsid w:val="00E4773C"/>
    <w:rsid w:val="00E661B3"/>
    <w:rsid w:val="00E665A1"/>
    <w:rsid w:val="00E66A4D"/>
    <w:rsid w:val="00E67425"/>
    <w:rsid w:val="00E7116D"/>
    <w:rsid w:val="00E956CD"/>
    <w:rsid w:val="00EA15B1"/>
    <w:rsid w:val="00EC34AD"/>
    <w:rsid w:val="00EC566B"/>
    <w:rsid w:val="00ED1BFF"/>
    <w:rsid w:val="00ED2EF6"/>
    <w:rsid w:val="00ED3622"/>
    <w:rsid w:val="00ED6D67"/>
    <w:rsid w:val="00EE4582"/>
    <w:rsid w:val="00EF6489"/>
    <w:rsid w:val="00F06F13"/>
    <w:rsid w:val="00F109B2"/>
    <w:rsid w:val="00F4598F"/>
    <w:rsid w:val="00F538E5"/>
    <w:rsid w:val="00F543EF"/>
    <w:rsid w:val="00F55FA7"/>
    <w:rsid w:val="00F608F4"/>
    <w:rsid w:val="00F669F3"/>
    <w:rsid w:val="00F77C45"/>
    <w:rsid w:val="00FA6B90"/>
    <w:rsid w:val="00FC12FB"/>
    <w:rsid w:val="00FC329E"/>
    <w:rsid w:val="00FD0114"/>
    <w:rsid w:val="00FD011F"/>
    <w:rsid w:val="00FD4210"/>
    <w:rsid w:val="00FD4CA4"/>
    <w:rsid w:val="00FE39BB"/>
    <w:rsid w:val="00FE5F73"/>
    <w:rsid w:val="00FF053B"/>
    <w:rsid w:val="00FF20F9"/>
    <w:rsid w:val="1D481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2B006"/>
  <w15:chartTrackingRefBased/>
  <w15:docId w15:val="{0F57DDBC-3726-4207-AB3C-AC5936C85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B8E"/>
    <w:pPr>
      <w:spacing w:after="240" w:line="276" w:lineRule="auto"/>
    </w:pPr>
    <w:rPr>
      <w:color w:val="000000" w:themeColor="text1"/>
    </w:rPr>
  </w:style>
  <w:style w:type="paragraph" w:styleId="Heading1">
    <w:name w:val="heading 1"/>
    <w:basedOn w:val="Title"/>
    <w:next w:val="Normal"/>
    <w:link w:val="Heading1Char"/>
    <w:uiPriority w:val="9"/>
    <w:qFormat/>
    <w:rsid w:val="00873B13"/>
    <w:pPr>
      <w:spacing w:before="120" w:after="240" w:line="240" w:lineRule="auto"/>
      <w:jc w:val="center"/>
      <w:outlineLvl w:val="0"/>
    </w:pPr>
    <w:rPr>
      <w:rFonts w:asciiTheme="majorHAnsi" w:hAnsiTheme="majorHAnsi"/>
      <w:b w:val="0"/>
      <w:bCs w:val="0"/>
      <w:color w:val="005193"/>
      <w:sz w:val="52"/>
      <w:szCs w:val="52"/>
    </w:rPr>
  </w:style>
  <w:style w:type="paragraph" w:styleId="Heading2">
    <w:name w:val="heading 2"/>
    <w:basedOn w:val="Normal"/>
    <w:next w:val="Normal"/>
    <w:link w:val="Heading2Char"/>
    <w:uiPriority w:val="9"/>
    <w:unhideWhenUsed/>
    <w:qFormat/>
    <w:rsid w:val="007937DF"/>
    <w:pPr>
      <w:keepNext/>
      <w:keepLines/>
      <w:spacing w:before="240" w:line="240" w:lineRule="auto"/>
      <w:contextualSpacing/>
      <w:outlineLvl w:val="1"/>
    </w:pPr>
    <w:rPr>
      <w:rFonts w:asciiTheme="majorHAnsi" w:eastAsiaTheme="majorEastAsia" w:hAnsiTheme="majorHAnsi" w:cstheme="majorBidi"/>
      <w:color w:val="005193"/>
      <w:sz w:val="44"/>
      <w:szCs w:val="44"/>
    </w:rPr>
  </w:style>
  <w:style w:type="paragraph" w:styleId="Heading3">
    <w:name w:val="heading 3"/>
    <w:basedOn w:val="Normal"/>
    <w:next w:val="Normal"/>
    <w:link w:val="Heading3Char"/>
    <w:uiPriority w:val="9"/>
    <w:unhideWhenUsed/>
    <w:qFormat/>
    <w:rsid w:val="007937DF"/>
    <w:pPr>
      <w:keepNext/>
      <w:keepLines/>
      <w:spacing w:before="240" w:line="240" w:lineRule="auto"/>
      <w:outlineLvl w:val="2"/>
    </w:pPr>
    <w:rPr>
      <w:rFonts w:eastAsiaTheme="majorEastAsia" w:cstheme="majorBidi"/>
      <w:color w:val="005193"/>
      <w:sz w:val="36"/>
      <w:szCs w:val="36"/>
    </w:rPr>
  </w:style>
  <w:style w:type="paragraph" w:styleId="Heading4">
    <w:name w:val="heading 4"/>
    <w:basedOn w:val="Normal"/>
    <w:next w:val="Normal"/>
    <w:link w:val="Heading4Char"/>
    <w:uiPriority w:val="9"/>
    <w:unhideWhenUsed/>
    <w:qFormat/>
    <w:rsid w:val="007937DF"/>
    <w:pPr>
      <w:keepNext/>
      <w:keepLines/>
      <w:spacing w:before="240" w:line="240" w:lineRule="auto"/>
      <w:outlineLvl w:val="3"/>
    </w:pPr>
    <w:rPr>
      <w:rFonts w:eastAsiaTheme="majorEastAsia" w:cstheme="majorBidi"/>
      <w:color w:val="005193"/>
      <w:sz w:val="28"/>
      <w:szCs w:val="28"/>
    </w:rPr>
  </w:style>
  <w:style w:type="paragraph" w:styleId="Heading5">
    <w:name w:val="heading 5"/>
    <w:basedOn w:val="Normal"/>
    <w:next w:val="Normal"/>
    <w:link w:val="Heading5Char"/>
    <w:uiPriority w:val="9"/>
    <w:unhideWhenUsed/>
    <w:qFormat/>
    <w:rsid w:val="007937DF"/>
    <w:pPr>
      <w:keepNext/>
      <w:keepLines/>
      <w:spacing w:before="240" w:line="240" w:lineRule="auto"/>
      <w:outlineLvl w:val="4"/>
    </w:pPr>
    <w:rPr>
      <w:rFonts w:eastAsiaTheme="majorEastAsia" w:cstheme="majorBidi"/>
      <w:b/>
      <w:bCs/>
      <w:color w:val="005193"/>
    </w:rPr>
  </w:style>
  <w:style w:type="paragraph" w:styleId="Heading6">
    <w:name w:val="heading 6"/>
    <w:basedOn w:val="Heading5"/>
    <w:next w:val="Normal"/>
    <w:link w:val="Heading6Char"/>
    <w:uiPriority w:val="9"/>
    <w:unhideWhenUsed/>
    <w:qFormat/>
    <w:rsid w:val="007937DF"/>
    <w:pPr>
      <w:outlineLvl w:val="5"/>
    </w:pPr>
    <w:rPr>
      <w:i/>
      <w:iCs/>
    </w:rPr>
  </w:style>
  <w:style w:type="paragraph" w:styleId="Heading7">
    <w:name w:val="heading 7"/>
    <w:basedOn w:val="Normal"/>
    <w:next w:val="Normal"/>
    <w:link w:val="Heading7Char"/>
    <w:uiPriority w:val="9"/>
    <w:semiHidden/>
    <w:unhideWhenUsed/>
    <w:qFormat/>
    <w:rsid w:val="00A675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75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75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B13"/>
    <w:rPr>
      <w:rFonts w:asciiTheme="majorHAnsi" w:hAnsiTheme="majorHAnsi"/>
      <w:noProof/>
      <w:color w:val="005193"/>
      <w:sz w:val="52"/>
      <w:szCs w:val="52"/>
    </w:rPr>
  </w:style>
  <w:style w:type="character" w:customStyle="1" w:styleId="Heading2Char">
    <w:name w:val="Heading 2 Char"/>
    <w:basedOn w:val="DefaultParagraphFont"/>
    <w:link w:val="Heading2"/>
    <w:uiPriority w:val="9"/>
    <w:rsid w:val="007937DF"/>
    <w:rPr>
      <w:rFonts w:asciiTheme="majorHAnsi" w:eastAsiaTheme="majorEastAsia" w:hAnsiTheme="majorHAnsi" w:cstheme="majorBidi"/>
      <w:color w:val="005193"/>
      <w:sz w:val="44"/>
      <w:szCs w:val="44"/>
    </w:rPr>
  </w:style>
  <w:style w:type="character" w:customStyle="1" w:styleId="Heading3Char">
    <w:name w:val="Heading 3 Char"/>
    <w:basedOn w:val="DefaultParagraphFont"/>
    <w:link w:val="Heading3"/>
    <w:uiPriority w:val="9"/>
    <w:rsid w:val="007937DF"/>
    <w:rPr>
      <w:rFonts w:eastAsiaTheme="majorEastAsia" w:cstheme="majorBidi"/>
      <w:color w:val="005193"/>
      <w:sz w:val="36"/>
      <w:szCs w:val="36"/>
    </w:rPr>
  </w:style>
  <w:style w:type="character" w:customStyle="1" w:styleId="Heading4Char">
    <w:name w:val="Heading 4 Char"/>
    <w:basedOn w:val="DefaultParagraphFont"/>
    <w:link w:val="Heading4"/>
    <w:uiPriority w:val="9"/>
    <w:rsid w:val="007937DF"/>
    <w:rPr>
      <w:rFonts w:eastAsiaTheme="majorEastAsia" w:cstheme="majorBidi"/>
      <w:color w:val="005193"/>
      <w:sz w:val="28"/>
      <w:szCs w:val="28"/>
    </w:rPr>
  </w:style>
  <w:style w:type="character" w:customStyle="1" w:styleId="Heading5Char">
    <w:name w:val="Heading 5 Char"/>
    <w:basedOn w:val="DefaultParagraphFont"/>
    <w:link w:val="Heading5"/>
    <w:uiPriority w:val="9"/>
    <w:rsid w:val="007937DF"/>
    <w:rPr>
      <w:rFonts w:eastAsiaTheme="majorEastAsia" w:cstheme="majorBidi"/>
      <w:b/>
      <w:bCs/>
      <w:color w:val="005193"/>
    </w:rPr>
  </w:style>
  <w:style w:type="character" w:customStyle="1" w:styleId="Heading6Char">
    <w:name w:val="Heading 6 Char"/>
    <w:basedOn w:val="DefaultParagraphFont"/>
    <w:link w:val="Heading6"/>
    <w:uiPriority w:val="9"/>
    <w:rsid w:val="007937DF"/>
    <w:rPr>
      <w:rFonts w:eastAsiaTheme="majorEastAsia" w:cstheme="majorBidi"/>
      <w:b/>
      <w:bCs/>
      <w:i/>
      <w:iCs/>
      <w:color w:val="005193"/>
    </w:rPr>
  </w:style>
  <w:style w:type="character" w:customStyle="1" w:styleId="Heading7Char">
    <w:name w:val="Heading 7 Char"/>
    <w:basedOn w:val="DefaultParagraphFont"/>
    <w:link w:val="Heading7"/>
    <w:uiPriority w:val="9"/>
    <w:semiHidden/>
    <w:rsid w:val="00A675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75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7540"/>
    <w:rPr>
      <w:rFonts w:eastAsiaTheme="majorEastAsia" w:cstheme="majorBidi"/>
      <w:color w:val="272727" w:themeColor="text1" w:themeTint="D8"/>
    </w:rPr>
  </w:style>
  <w:style w:type="paragraph" w:styleId="Title">
    <w:name w:val="Title"/>
    <w:aliases w:val="Footer Title"/>
    <w:basedOn w:val="Footer"/>
    <w:next w:val="Normal"/>
    <w:link w:val="TitleChar"/>
    <w:uiPriority w:val="10"/>
    <w:qFormat/>
    <w:rsid w:val="00537FB4"/>
    <w:pPr>
      <w:ind w:right="360"/>
      <w:jc w:val="left"/>
    </w:pPr>
    <w:rPr>
      <w:b/>
      <w:bCs/>
    </w:rPr>
  </w:style>
  <w:style w:type="character" w:customStyle="1" w:styleId="TitleChar">
    <w:name w:val="Title Char"/>
    <w:aliases w:val="Footer Title Char"/>
    <w:basedOn w:val="DefaultParagraphFont"/>
    <w:link w:val="Title"/>
    <w:uiPriority w:val="10"/>
    <w:rsid w:val="00537FB4"/>
    <w:rPr>
      <w:rFonts w:ascii="Museo Slab 300" w:hAnsi="Museo Slab 300"/>
      <w:b/>
      <w:bCs/>
      <w:noProof/>
      <w:color w:val="000000" w:themeColor="text1"/>
      <w:sz w:val="20"/>
      <w:szCs w:val="20"/>
    </w:rPr>
  </w:style>
  <w:style w:type="paragraph" w:styleId="Subtitle">
    <w:name w:val="Subtitle"/>
    <w:basedOn w:val="Normal"/>
    <w:next w:val="Normal"/>
    <w:link w:val="SubtitleChar"/>
    <w:uiPriority w:val="11"/>
    <w:qFormat/>
    <w:rsid w:val="00A6754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75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58FD"/>
    <w:pPr>
      <w:spacing w:before="160"/>
      <w:ind w:left="720"/>
      <w:contextualSpacing/>
    </w:pPr>
    <w:rPr>
      <w:i/>
      <w:iCs/>
      <w:color w:val="0C2135"/>
    </w:rPr>
  </w:style>
  <w:style w:type="character" w:customStyle="1" w:styleId="QuoteChar">
    <w:name w:val="Quote Char"/>
    <w:basedOn w:val="DefaultParagraphFont"/>
    <w:link w:val="Quote"/>
    <w:uiPriority w:val="29"/>
    <w:rsid w:val="001458FD"/>
    <w:rPr>
      <w:i/>
      <w:iCs/>
      <w:color w:val="0C2135"/>
    </w:rPr>
  </w:style>
  <w:style w:type="paragraph" w:styleId="ListParagraph">
    <w:name w:val="List Paragraph"/>
    <w:basedOn w:val="Normal"/>
    <w:uiPriority w:val="34"/>
    <w:qFormat/>
    <w:rsid w:val="00C16313"/>
    <w:pPr>
      <w:numPr>
        <w:numId w:val="26"/>
      </w:numPr>
    </w:pPr>
  </w:style>
  <w:style w:type="character" w:styleId="IntenseEmphasis">
    <w:name w:val="Intense Emphasis"/>
    <w:basedOn w:val="DefaultParagraphFont"/>
    <w:uiPriority w:val="21"/>
    <w:qFormat/>
    <w:rsid w:val="00A67540"/>
    <w:rPr>
      <w:i/>
      <w:iCs/>
      <w:color w:val="0F4761" w:themeColor="accent1" w:themeShade="BF"/>
    </w:rPr>
  </w:style>
  <w:style w:type="paragraph" w:styleId="IntenseQuote">
    <w:name w:val="Intense Quote"/>
    <w:basedOn w:val="Normal"/>
    <w:next w:val="Normal"/>
    <w:link w:val="IntenseQuoteChar"/>
    <w:uiPriority w:val="30"/>
    <w:qFormat/>
    <w:rsid w:val="008B587E"/>
    <w:pPr>
      <w:pBdr>
        <w:top w:val="single" w:sz="4" w:space="10" w:color="0F4761" w:themeColor="accent1" w:themeShade="BF"/>
        <w:bottom w:val="single" w:sz="4" w:space="10" w:color="0F4761" w:themeColor="accent1" w:themeShade="BF"/>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8B587E"/>
    <w:rPr>
      <w:i/>
      <w:iCs/>
    </w:rPr>
  </w:style>
  <w:style w:type="character" w:styleId="IntenseReference">
    <w:name w:val="Intense Reference"/>
    <w:basedOn w:val="DefaultParagraphFont"/>
    <w:uiPriority w:val="32"/>
    <w:qFormat/>
    <w:rsid w:val="00A67540"/>
    <w:rPr>
      <w:b/>
      <w:bCs/>
      <w:smallCaps/>
      <w:color w:val="0F4761" w:themeColor="accent1" w:themeShade="BF"/>
      <w:spacing w:val="5"/>
    </w:rPr>
  </w:style>
  <w:style w:type="paragraph" w:styleId="Header">
    <w:name w:val="header"/>
    <w:basedOn w:val="Normal"/>
    <w:link w:val="HeaderChar"/>
    <w:uiPriority w:val="99"/>
    <w:unhideWhenUsed/>
    <w:rsid w:val="00CC7B8E"/>
    <w:pPr>
      <w:tabs>
        <w:tab w:val="center" w:pos="4680"/>
        <w:tab w:val="right" w:pos="9360"/>
      </w:tabs>
      <w:spacing w:line="360" w:lineRule="auto"/>
      <w:jc w:val="right"/>
    </w:pPr>
    <w:rPr>
      <w:rFonts w:ascii="Museo Slab 300" w:hAnsi="Museo Slab 300"/>
      <w:noProof/>
      <w:sz w:val="20"/>
      <w:szCs w:val="20"/>
    </w:rPr>
  </w:style>
  <w:style w:type="character" w:customStyle="1" w:styleId="HeaderChar">
    <w:name w:val="Header Char"/>
    <w:basedOn w:val="DefaultParagraphFont"/>
    <w:link w:val="Header"/>
    <w:uiPriority w:val="99"/>
    <w:rsid w:val="00CC7B8E"/>
    <w:rPr>
      <w:rFonts w:ascii="Museo Slab 300" w:hAnsi="Museo Slab 300"/>
      <w:noProof/>
      <w:color w:val="000000" w:themeColor="text1"/>
      <w:sz w:val="20"/>
      <w:szCs w:val="20"/>
    </w:rPr>
  </w:style>
  <w:style w:type="paragraph" w:styleId="Footer">
    <w:name w:val="footer"/>
    <w:basedOn w:val="Header"/>
    <w:link w:val="FooterChar"/>
    <w:uiPriority w:val="99"/>
    <w:unhideWhenUsed/>
    <w:rsid w:val="00CC7B8E"/>
    <w:pPr>
      <w:spacing w:after="0"/>
    </w:pPr>
  </w:style>
  <w:style w:type="character" w:customStyle="1" w:styleId="FooterChar">
    <w:name w:val="Footer Char"/>
    <w:basedOn w:val="DefaultParagraphFont"/>
    <w:link w:val="Footer"/>
    <w:uiPriority w:val="99"/>
    <w:rsid w:val="00CC7B8E"/>
    <w:rPr>
      <w:rFonts w:ascii="Museo Slab 300" w:hAnsi="Museo Slab 300"/>
      <w:noProof/>
      <w:color w:val="000000" w:themeColor="text1"/>
      <w:sz w:val="20"/>
      <w:szCs w:val="20"/>
    </w:rPr>
  </w:style>
  <w:style w:type="character" w:styleId="Hyperlink">
    <w:name w:val="Hyperlink"/>
    <w:uiPriority w:val="99"/>
    <w:unhideWhenUsed/>
    <w:rsid w:val="00023DE6"/>
    <w:rPr>
      <w:color w:val="015191"/>
      <w:u w:val="single"/>
    </w:rPr>
  </w:style>
  <w:style w:type="character" w:styleId="UnresolvedMention">
    <w:name w:val="Unresolved Mention"/>
    <w:basedOn w:val="DefaultParagraphFont"/>
    <w:uiPriority w:val="99"/>
    <w:semiHidden/>
    <w:unhideWhenUsed/>
    <w:rsid w:val="00CC7B8E"/>
    <w:rPr>
      <w:color w:val="605E5C"/>
      <w:shd w:val="clear" w:color="auto" w:fill="E1DFDD"/>
    </w:rPr>
  </w:style>
  <w:style w:type="character" w:styleId="FollowedHyperlink">
    <w:name w:val="FollowedHyperlink"/>
    <w:basedOn w:val="DefaultParagraphFont"/>
    <w:uiPriority w:val="99"/>
    <w:semiHidden/>
    <w:unhideWhenUsed/>
    <w:rsid w:val="00CA38ED"/>
    <w:rPr>
      <w:color w:val="96607D" w:themeColor="followedHyperlink"/>
      <w:u w:val="single"/>
    </w:rPr>
  </w:style>
  <w:style w:type="character" w:styleId="PageNumber">
    <w:name w:val="page number"/>
    <w:basedOn w:val="DefaultParagraphFont"/>
    <w:uiPriority w:val="99"/>
    <w:semiHidden/>
    <w:unhideWhenUsed/>
    <w:rsid w:val="00CA38ED"/>
  </w:style>
  <w:style w:type="paragraph" w:styleId="TOC1">
    <w:name w:val="toc 1"/>
    <w:basedOn w:val="Normal"/>
    <w:next w:val="Normal"/>
    <w:autoRedefine/>
    <w:uiPriority w:val="39"/>
    <w:unhideWhenUsed/>
    <w:rsid w:val="00572094"/>
    <w:pPr>
      <w:spacing w:after="100" w:line="259" w:lineRule="auto"/>
    </w:pPr>
    <w:rPr>
      <w:color w:val="auto"/>
      <w:kern w:val="2"/>
      <w:szCs w:val="22"/>
      <w14:ligatures w14:val="standardContextual"/>
    </w:rPr>
  </w:style>
  <w:style w:type="paragraph" w:customStyle="1" w:styleId="Warning">
    <w:name w:val="Warning"/>
    <w:basedOn w:val="Normal"/>
    <w:qFormat/>
    <w:rsid w:val="00ED6D67"/>
    <w:pPr>
      <w:pBdr>
        <w:top w:val="single" w:sz="4" w:space="6" w:color="000000"/>
        <w:left w:val="single" w:sz="4" w:space="6" w:color="000000"/>
        <w:bottom w:val="single" w:sz="4" w:space="6" w:color="000000"/>
        <w:right w:val="single" w:sz="4" w:space="6" w:color="000000"/>
      </w:pBdr>
      <w:shd w:val="clear" w:color="auto" w:fill="E8E8E8" w:themeFill="background2"/>
      <w:spacing w:before="600"/>
      <w:ind w:left="720" w:right="720"/>
      <w:contextualSpacing/>
      <w:jc w:val="center"/>
    </w:pPr>
  </w:style>
  <w:style w:type="paragraph" w:customStyle="1" w:styleId="TOC10">
    <w:name w:val="TOC1"/>
    <w:basedOn w:val="TOC1"/>
    <w:qFormat/>
    <w:rsid w:val="00FD4CA4"/>
    <w:pPr>
      <w:tabs>
        <w:tab w:val="left" w:pos="360"/>
        <w:tab w:val="right" w:leader="dot" w:pos="9350"/>
      </w:tabs>
      <w:spacing w:after="120" w:line="276" w:lineRule="auto"/>
      <w:ind w:left="360" w:hanging="360"/>
    </w:pPr>
    <w:rPr>
      <w:szCs w:val="24"/>
    </w:rPr>
  </w:style>
  <w:style w:type="paragraph" w:customStyle="1" w:styleId="PubDate">
    <w:name w:val="Pub Date"/>
    <w:basedOn w:val="Normal"/>
    <w:qFormat/>
    <w:rsid w:val="003C5879"/>
    <w:pPr>
      <w:spacing w:after="480"/>
      <w:jc w:val="center"/>
    </w:pPr>
  </w:style>
  <w:style w:type="paragraph" w:styleId="TOC2">
    <w:name w:val="toc 2"/>
    <w:basedOn w:val="Normal"/>
    <w:next w:val="Normal"/>
    <w:autoRedefine/>
    <w:uiPriority w:val="39"/>
    <w:unhideWhenUsed/>
    <w:rsid w:val="002A5EBD"/>
    <w:pPr>
      <w:spacing w:after="100"/>
      <w:ind w:left="240"/>
    </w:pPr>
  </w:style>
  <w:style w:type="paragraph" w:styleId="TOC3">
    <w:name w:val="toc 3"/>
    <w:basedOn w:val="Normal"/>
    <w:next w:val="Normal"/>
    <w:autoRedefine/>
    <w:uiPriority w:val="39"/>
    <w:unhideWhenUsed/>
    <w:rsid w:val="002A5EBD"/>
    <w:pPr>
      <w:spacing w:after="100"/>
      <w:ind w:left="480"/>
    </w:pPr>
  </w:style>
  <w:style w:type="paragraph" w:styleId="TOC4">
    <w:name w:val="toc 4"/>
    <w:basedOn w:val="Normal"/>
    <w:next w:val="Normal"/>
    <w:autoRedefine/>
    <w:uiPriority w:val="39"/>
    <w:unhideWhenUsed/>
    <w:rsid w:val="002A5EBD"/>
    <w:pPr>
      <w:spacing w:after="100"/>
      <w:ind w:left="720"/>
    </w:pPr>
  </w:style>
  <w:style w:type="paragraph" w:customStyle="1" w:styleId="TOC20">
    <w:name w:val="TOC2"/>
    <w:basedOn w:val="TOC10"/>
    <w:qFormat/>
    <w:rsid w:val="00FD4CA4"/>
    <w:pPr>
      <w:tabs>
        <w:tab w:val="clear" w:pos="360"/>
        <w:tab w:val="left" w:pos="1080"/>
      </w:tabs>
      <w:ind w:left="1080"/>
    </w:pPr>
  </w:style>
  <w:style w:type="paragraph" w:customStyle="1" w:styleId="IDEAS">
    <w:name w:val="IDEAS"/>
    <w:basedOn w:val="Normal"/>
    <w:qFormat/>
    <w:rsid w:val="003A3237"/>
    <w:pPr>
      <w:ind w:right="1890"/>
    </w:pPr>
    <w:rPr>
      <w:noProof/>
      <w:sz w:val="20"/>
      <w:szCs w:val="20"/>
    </w:rPr>
  </w:style>
  <w:style w:type="paragraph" w:customStyle="1" w:styleId="CC">
    <w:name w:val="CC"/>
    <w:basedOn w:val="Normal"/>
    <w:qFormat/>
    <w:rsid w:val="003A3237"/>
    <w:rPr>
      <w:sz w:val="20"/>
      <w:szCs w:val="20"/>
    </w:rPr>
  </w:style>
  <w:style w:type="paragraph" w:customStyle="1" w:styleId="Logos">
    <w:name w:val="Logos"/>
    <w:basedOn w:val="Normal"/>
    <w:qFormat/>
    <w:rsid w:val="003A3237"/>
    <w:pPr>
      <w:ind w:left="-720" w:right="-720"/>
    </w:pPr>
    <w:rPr>
      <w:noProof/>
    </w:rPr>
  </w:style>
  <w:style w:type="paragraph" w:customStyle="1" w:styleId="CoverAddress">
    <w:name w:val="Cover Address"/>
    <w:basedOn w:val="Footer"/>
    <w:qFormat/>
    <w:rsid w:val="00A55815"/>
    <w:pPr>
      <w:jc w:val="center"/>
    </w:pPr>
    <w:rPr>
      <w:noProof w:val="0"/>
    </w:rPr>
  </w:style>
  <w:style w:type="character" w:styleId="Strong">
    <w:name w:val="Strong"/>
    <w:basedOn w:val="DefaultParagraphFont"/>
    <w:uiPriority w:val="22"/>
    <w:qFormat/>
    <w:rsid w:val="00FC329E"/>
    <w:rPr>
      <w:b/>
      <w:bCs/>
    </w:rPr>
  </w:style>
  <w:style w:type="paragraph" w:customStyle="1" w:styleId="TOC30">
    <w:name w:val="TOC3"/>
    <w:basedOn w:val="TOC20"/>
    <w:qFormat/>
    <w:rsid w:val="00703651"/>
    <w:pPr>
      <w:tabs>
        <w:tab w:val="clear" w:pos="1080"/>
        <w:tab w:val="left" w:pos="1440"/>
      </w:tabs>
      <w:ind w:left="1440"/>
    </w:pPr>
  </w:style>
  <w:style w:type="paragraph" w:styleId="NoSpacing">
    <w:name w:val="No Spacing"/>
    <w:uiPriority w:val="1"/>
    <w:qFormat/>
    <w:rsid w:val="001D05C3"/>
    <w:rPr>
      <w:color w:val="000000" w:themeColor="text1"/>
    </w:rPr>
  </w:style>
  <w:style w:type="paragraph" w:styleId="TOCHeading">
    <w:name w:val="TOC Heading"/>
    <w:basedOn w:val="Heading1"/>
    <w:next w:val="Normal"/>
    <w:uiPriority w:val="39"/>
    <w:unhideWhenUsed/>
    <w:qFormat/>
    <w:rsid w:val="00FE39BB"/>
    <w:pPr>
      <w:keepNext/>
      <w:keepLines/>
      <w:tabs>
        <w:tab w:val="clear" w:pos="4680"/>
        <w:tab w:val="clear" w:pos="9360"/>
      </w:tabs>
      <w:spacing w:before="240" w:after="0" w:line="259" w:lineRule="auto"/>
      <w:ind w:right="0"/>
      <w:jc w:val="left"/>
      <w:outlineLvl w:val="9"/>
    </w:pPr>
    <w:rPr>
      <w:rFonts w:eastAsiaTheme="majorEastAsia" w:cstheme="majorBidi"/>
      <w:noProof w:val="0"/>
      <w:color w:val="0F4761" w:themeColor="accent1" w:themeShade="BF"/>
      <w:sz w:val="32"/>
      <w:szCs w:val="32"/>
    </w:rPr>
  </w:style>
  <w:style w:type="character" w:styleId="CommentReference">
    <w:name w:val="annotation reference"/>
    <w:basedOn w:val="DefaultParagraphFont"/>
    <w:uiPriority w:val="99"/>
    <w:semiHidden/>
    <w:unhideWhenUsed/>
    <w:rsid w:val="00354CCA"/>
    <w:rPr>
      <w:sz w:val="16"/>
      <w:szCs w:val="16"/>
    </w:rPr>
  </w:style>
  <w:style w:type="paragraph" w:styleId="CommentText">
    <w:name w:val="annotation text"/>
    <w:basedOn w:val="Normal"/>
    <w:link w:val="CommentTextChar"/>
    <w:uiPriority w:val="99"/>
    <w:unhideWhenUsed/>
    <w:rsid w:val="00354CCA"/>
    <w:pPr>
      <w:spacing w:line="240" w:lineRule="auto"/>
    </w:pPr>
    <w:rPr>
      <w:sz w:val="20"/>
      <w:szCs w:val="20"/>
    </w:rPr>
  </w:style>
  <w:style w:type="character" w:customStyle="1" w:styleId="CommentTextChar">
    <w:name w:val="Comment Text Char"/>
    <w:basedOn w:val="DefaultParagraphFont"/>
    <w:link w:val="CommentText"/>
    <w:uiPriority w:val="99"/>
    <w:rsid w:val="00354CCA"/>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354CCA"/>
    <w:rPr>
      <w:b/>
      <w:bCs/>
    </w:rPr>
  </w:style>
  <w:style w:type="character" w:customStyle="1" w:styleId="CommentSubjectChar">
    <w:name w:val="Comment Subject Char"/>
    <w:basedOn w:val="CommentTextChar"/>
    <w:link w:val="CommentSubject"/>
    <w:uiPriority w:val="99"/>
    <w:semiHidden/>
    <w:rsid w:val="00354CCA"/>
    <w:rPr>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footer" Target="footer1.xml"/><Relationship Id="rId26" Type="http://schemas.openxmlformats.org/officeDocument/2006/relationships/hyperlink" Target="https://www.mentimeter.com/" TargetMode="External"/><Relationship Id="rId39" Type="http://schemas.openxmlformats.org/officeDocument/2006/relationships/footer" Target="footer4.xml"/><Relationship Id="rId21" Type="http://schemas.openxmlformats.org/officeDocument/2006/relationships/footer" Target="footer3.xml"/><Relationship Id="rId34" Type="http://schemas.openxmlformats.org/officeDocument/2006/relationships/hyperlink" Target="https://ncademi.org/provide/formats/state-aem-contact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ncademi@usu.edu" TargetMode="External"/><Relationship Id="rId20" Type="http://schemas.openxmlformats.org/officeDocument/2006/relationships/header" Target="header2.xml"/><Relationship Id="rId29" Type="http://schemas.openxmlformats.org/officeDocument/2006/relationships/hyperlink" Target="https://ncademi.org/provide/formats/iep/aem-guid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sa/4.0/" TargetMode="External"/><Relationship Id="rId24" Type="http://schemas.openxmlformats.org/officeDocument/2006/relationships/hyperlink" Target="https://www.ada.gov/resources/2024-03-08-web-rule/" TargetMode="External"/><Relationship Id="rId32" Type="http://schemas.openxmlformats.org/officeDocument/2006/relationships/hyperlink" Target="https://ncademi.org/provide/formats/amp/" TargetMode="External"/><Relationship Id="rId37" Type="http://schemas.openxmlformats.org/officeDocument/2006/relationships/hyperlink" Target="https://www.linkedin.com/company/ncademi/"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cademi.org/" TargetMode="External"/><Relationship Id="rId23" Type="http://schemas.openxmlformats.org/officeDocument/2006/relationships/hyperlink" Target="https://ncademi.org/provide/formats/iep/aem-guide/" TargetMode="External"/><Relationship Id="rId28" Type="http://schemas.openxmlformats.org/officeDocument/2006/relationships/hyperlink" Target="file:///C:\Users\A02467615\Downloads\ncademi.org" TargetMode="External"/><Relationship Id="rId36" Type="http://schemas.openxmlformats.org/officeDocument/2006/relationships/hyperlink" Target="mailto:ncademi@usu.edu" TargetMode="External"/><Relationship Id="rId10" Type="http://schemas.openxmlformats.org/officeDocument/2006/relationships/image" Target="media/image3.png"/><Relationship Id="rId19" Type="http://schemas.openxmlformats.org/officeDocument/2006/relationships/footer" Target="footer2.xml"/><Relationship Id="rId31" Type="http://schemas.openxmlformats.org/officeDocument/2006/relationships/hyperlink" Target="https://ncademi.org/provide/formats/am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yperlink" Target="https://sites.ed.gov/idea/files/Myths-and-Facts-Surrounding-Assistive-Technology-Devices-01-22-2024.pdf" TargetMode="External"/><Relationship Id="rId27" Type="http://schemas.openxmlformats.org/officeDocument/2006/relationships/hyperlink" Target="https://sites.ed.gov/idea/files/Myths-and-Facts-Surrounding-Assistive-Technology-Devices-01-22-2024.pdf" TargetMode="External"/><Relationship Id="rId30" Type="http://schemas.openxmlformats.org/officeDocument/2006/relationships/hyperlink" Target="https://ncademi.org/provide/formats/state-aem-contacts/" TargetMode="External"/><Relationship Id="rId35" Type="http://schemas.openxmlformats.org/officeDocument/2006/relationships/hyperlink" Target="https://atinternetmodules.org/m/2883"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eader" Target="header1.xml"/><Relationship Id="rId25" Type="http://schemas.openxmlformats.org/officeDocument/2006/relationships/hyperlink" Target="https://ncademi.org/blog/a-primer-on-title-ii-of-the-ada/" TargetMode="External"/><Relationship Id="rId33" Type="http://schemas.openxmlformats.org/officeDocument/2006/relationships/hyperlink" Target="https://ncademi.org/provide/formats/braille-assessments/" TargetMode="External"/><Relationship Id="rId38" Type="http://schemas.openxmlformats.org/officeDocument/2006/relationships/hyperlink" Target="https://ncademi.org/newslet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73827-9177-CE42-9FC9-60CC151BC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13</Pages>
  <Words>4010</Words>
  <Characters>21815</Characters>
  <Application>Microsoft Office Word</Application>
  <DocSecurity>0</DocSecurity>
  <Lines>411</Lines>
  <Paragraphs>134</Paragraphs>
  <ScaleCrop>false</ScaleCrop>
  <HeadingPairs>
    <vt:vector size="2" baseType="variant">
      <vt:variant>
        <vt:lpstr>Title</vt:lpstr>
      </vt:variant>
      <vt:variant>
        <vt:i4>1</vt:i4>
      </vt:variant>
    </vt:vector>
  </HeadingPairs>
  <TitlesOfParts>
    <vt:vector size="1" baseType="lpstr">
      <vt:lpstr>ADA Title II Roadmap for SEAs &amp; LEAs</vt:lpstr>
    </vt:vector>
  </TitlesOfParts>
  <Manager/>
  <Company/>
  <LinksUpToDate>false</LinksUpToDate>
  <CharactersWithSpaces>25691</CharactersWithSpaces>
  <SharedDoc>false</SharedDoc>
  <HyperlinkBase/>
  <HLinks>
    <vt:vector size="180" baseType="variant">
      <vt:variant>
        <vt:i4>8192047</vt:i4>
      </vt:variant>
      <vt:variant>
        <vt:i4>126</vt:i4>
      </vt:variant>
      <vt:variant>
        <vt:i4>0</vt:i4>
      </vt:variant>
      <vt:variant>
        <vt:i4>5</vt:i4>
      </vt:variant>
      <vt:variant>
        <vt:lpwstr>https://ncademi.org/newsletter/</vt:lpwstr>
      </vt:variant>
      <vt:variant>
        <vt:lpwstr/>
      </vt:variant>
      <vt:variant>
        <vt:i4>5963796</vt:i4>
      </vt:variant>
      <vt:variant>
        <vt:i4>123</vt:i4>
      </vt:variant>
      <vt:variant>
        <vt:i4>0</vt:i4>
      </vt:variant>
      <vt:variant>
        <vt:i4>5</vt:i4>
      </vt:variant>
      <vt:variant>
        <vt:lpwstr>https://www.linkedin.com/company/ncademi/</vt:lpwstr>
      </vt:variant>
      <vt:variant>
        <vt:lpwstr/>
      </vt:variant>
      <vt:variant>
        <vt:i4>7405657</vt:i4>
      </vt:variant>
      <vt:variant>
        <vt:i4>120</vt:i4>
      </vt:variant>
      <vt:variant>
        <vt:i4>0</vt:i4>
      </vt:variant>
      <vt:variant>
        <vt:i4>5</vt:i4>
      </vt:variant>
      <vt:variant>
        <vt:lpwstr>mailto:ncademi@usu.edu</vt:lpwstr>
      </vt:variant>
      <vt:variant>
        <vt:lpwstr/>
      </vt:variant>
      <vt:variant>
        <vt:i4>6029394</vt:i4>
      </vt:variant>
      <vt:variant>
        <vt:i4>117</vt:i4>
      </vt:variant>
      <vt:variant>
        <vt:i4>0</vt:i4>
      </vt:variant>
      <vt:variant>
        <vt:i4>5</vt:i4>
      </vt:variant>
      <vt:variant>
        <vt:lpwstr>https://atinternetmodules.org/m/2883</vt:lpwstr>
      </vt:variant>
      <vt:variant>
        <vt:lpwstr/>
      </vt:variant>
      <vt:variant>
        <vt:i4>7340093</vt:i4>
      </vt:variant>
      <vt:variant>
        <vt:i4>114</vt:i4>
      </vt:variant>
      <vt:variant>
        <vt:i4>0</vt:i4>
      </vt:variant>
      <vt:variant>
        <vt:i4>5</vt:i4>
      </vt:variant>
      <vt:variant>
        <vt:lpwstr>https://ncademi.org/provide/formats/state-aem-contacts/</vt:lpwstr>
      </vt:variant>
      <vt:variant>
        <vt:lpwstr/>
      </vt:variant>
      <vt:variant>
        <vt:i4>2031685</vt:i4>
      </vt:variant>
      <vt:variant>
        <vt:i4>111</vt:i4>
      </vt:variant>
      <vt:variant>
        <vt:i4>0</vt:i4>
      </vt:variant>
      <vt:variant>
        <vt:i4>5</vt:i4>
      </vt:variant>
      <vt:variant>
        <vt:lpwstr>https://ncademi.org/provide/formats/braille-assessments/</vt:lpwstr>
      </vt:variant>
      <vt:variant>
        <vt:lpwstr/>
      </vt:variant>
      <vt:variant>
        <vt:i4>6029391</vt:i4>
      </vt:variant>
      <vt:variant>
        <vt:i4>108</vt:i4>
      </vt:variant>
      <vt:variant>
        <vt:i4>0</vt:i4>
      </vt:variant>
      <vt:variant>
        <vt:i4>5</vt:i4>
      </vt:variant>
      <vt:variant>
        <vt:lpwstr>https://ncademi.org/provide/formats/amp/</vt:lpwstr>
      </vt:variant>
      <vt:variant>
        <vt:lpwstr/>
      </vt:variant>
      <vt:variant>
        <vt:i4>6029391</vt:i4>
      </vt:variant>
      <vt:variant>
        <vt:i4>105</vt:i4>
      </vt:variant>
      <vt:variant>
        <vt:i4>0</vt:i4>
      </vt:variant>
      <vt:variant>
        <vt:i4>5</vt:i4>
      </vt:variant>
      <vt:variant>
        <vt:lpwstr>https://ncademi.org/provide/formats/amp/</vt:lpwstr>
      </vt:variant>
      <vt:variant>
        <vt:lpwstr/>
      </vt:variant>
      <vt:variant>
        <vt:i4>7340093</vt:i4>
      </vt:variant>
      <vt:variant>
        <vt:i4>102</vt:i4>
      </vt:variant>
      <vt:variant>
        <vt:i4>0</vt:i4>
      </vt:variant>
      <vt:variant>
        <vt:i4>5</vt:i4>
      </vt:variant>
      <vt:variant>
        <vt:lpwstr>https://ncademi.org/provide/formats/state-aem-contacts/</vt:lpwstr>
      </vt:variant>
      <vt:variant>
        <vt:lpwstr/>
      </vt:variant>
      <vt:variant>
        <vt:i4>2228256</vt:i4>
      </vt:variant>
      <vt:variant>
        <vt:i4>99</vt:i4>
      </vt:variant>
      <vt:variant>
        <vt:i4>0</vt:i4>
      </vt:variant>
      <vt:variant>
        <vt:i4>5</vt:i4>
      </vt:variant>
      <vt:variant>
        <vt:lpwstr>https://ncademi.org/provide/formats/iep/aem-guide/</vt:lpwstr>
      </vt:variant>
      <vt:variant>
        <vt:lpwstr/>
      </vt:variant>
      <vt:variant>
        <vt:i4>5832796</vt:i4>
      </vt:variant>
      <vt:variant>
        <vt:i4>96</vt:i4>
      </vt:variant>
      <vt:variant>
        <vt:i4>0</vt:i4>
      </vt:variant>
      <vt:variant>
        <vt:i4>5</vt:i4>
      </vt:variant>
      <vt:variant>
        <vt:lpwstr>C:\Users\A02467615\Downloads\ncademi.org</vt:lpwstr>
      </vt:variant>
      <vt:variant>
        <vt:lpwstr/>
      </vt:variant>
      <vt:variant>
        <vt:i4>7471224</vt:i4>
      </vt:variant>
      <vt:variant>
        <vt:i4>93</vt:i4>
      </vt:variant>
      <vt:variant>
        <vt:i4>0</vt:i4>
      </vt:variant>
      <vt:variant>
        <vt:i4>5</vt:i4>
      </vt:variant>
      <vt:variant>
        <vt:lpwstr>https://sites.ed.gov/idea/files/Myths-and-Facts-Surrounding-Assistive-Technology-Devices-01-22-2024.pdf</vt:lpwstr>
      </vt:variant>
      <vt:variant>
        <vt:lpwstr/>
      </vt:variant>
      <vt:variant>
        <vt:i4>3932267</vt:i4>
      </vt:variant>
      <vt:variant>
        <vt:i4>90</vt:i4>
      </vt:variant>
      <vt:variant>
        <vt:i4>0</vt:i4>
      </vt:variant>
      <vt:variant>
        <vt:i4>5</vt:i4>
      </vt:variant>
      <vt:variant>
        <vt:lpwstr>https://www.mentimeter.com/</vt:lpwstr>
      </vt:variant>
      <vt:variant>
        <vt:lpwstr/>
      </vt:variant>
      <vt:variant>
        <vt:i4>720969</vt:i4>
      </vt:variant>
      <vt:variant>
        <vt:i4>87</vt:i4>
      </vt:variant>
      <vt:variant>
        <vt:i4>0</vt:i4>
      </vt:variant>
      <vt:variant>
        <vt:i4>5</vt:i4>
      </vt:variant>
      <vt:variant>
        <vt:lpwstr>https://ncademi.org/blog/a-primer-on-title-ii-of-the-ada/</vt:lpwstr>
      </vt:variant>
      <vt:variant>
        <vt:lpwstr/>
      </vt:variant>
      <vt:variant>
        <vt:i4>7667822</vt:i4>
      </vt:variant>
      <vt:variant>
        <vt:i4>84</vt:i4>
      </vt:variant>
      <vt:variant>
        <vt:i4>0</vt:i4>
      </vt:variant>
      <vt:variant>
        <vt:i4>5</vt:i4>
      </vt:variant>
      <vt:variant>
        <vt:lpwstr>https://www.ada.gov/resources/2024-03-08-web-rule/</vt:lpwstr>
      </vt:variant>
      <vt:variant>
        <vt:lpwstr/>
      </vt:variant>
      <vt:variant>
        <vt:i4>2228256</vt:i4>
      </vt:variant>
      <vt:variant>
        <vt:i4>81</vt:i4>
      </vt:variant>
      <vt:variant>
        <vt:i4>0</vt:i4>
      </vt:variant>
      <vt:variant>
        <vt:i4>5</vt:i4>
      </vt:variant>
      <vt:variant>
        <vt:lpwstr>https://ncademi.org/provide/formats/iep/aem-guide/</vt:lpwstr>
      </vt:variant>
      <vt:variant>
        <vt:lpwstr/>
      </vt:variant>
      <vt:variant>
        <vt:i4>7471224</vt:i4>
      </vt:variant>
      <vt:variant>
        <vt:i4>78</vt:i4>
      </vt:variant>
      <vt:variant>
        <vt:i4>0</vt:i4>
      </vt:variant>
      <vt:variant>
        <vt:i4>5</vt:i4>
      </vt:variant>
      <vt:variant>
        <vt:lpwstr>https://sites.ed.gov/idea/files/Myths-and-Facts-Surrounding-Assistive-Technology-Devices-01-22-2024.pdf</vt:lpwstr>
      </vt:variant>
      <vt:variant>
        <vt:lpwstr/>
      </vt:variant>
      <vt:variant>
        <vt:i4>1703986</vt:i4>
      </vt:variant>
      <vt:variant>
        <vt:i4>71</vt:i4>
      </vt:variant>
      <vt:variant>
        <vt:i4>0</vt:i4>
      </vt:variant>
      <vt:variant>
        <vt:i4>5</vt:i4>
      </vt:variant>
      <vt:variant>
        <vt:lpwstr/>
      </vt:variant>
      <vt:variant>
        <vt:lpwstr>_Toc227077080</vt:lpwstr>
      </vt:variant>
      <vt:variant>
        <vt:i4>1376306</vt:i4>
      </vt:variant>
      <vt:variant>
        <vt:i4>65</vt:i4>
      </vt:variant>
      <vt:variant>
        <vt:i4>0</vt:i4>
      </vt:variant>
      <vt:variant>
        <vt:i4>5</vt:i4>
      </vt:variant>
      <vt:variant>
        <vt:lpwstr/>
      </vt:variant>
      <vt:variant>
        <vt:lpwstr>_Toc227077079</vt:lpwstr>
      </vt:variant>
      <vt:variant>
        <vt:i4>1376306</vt:i4>
      </vt:variant>
      <vt:variant>
        <vt:i4>59</vt:i4>
      </vt:variant>
      <vt:variant>
        <vt:i4>0</vt:i4>
      </vt:variant>
      <vt:variant>
        <vt:i4>5</vt:i4>
      </vt:variant>
      <vt:variant>
        <vt:lpwstr/>
      </vt:variant>
      <vt:variant>
        <vt:lpwstr>_Toc227077078</vt:lpwstr>
      </vt:variant>
      <vt:variant>
        <vt:i4>1376306</vt:i4>
      </vt:variant>
      <vt:variant>
        <vt:i4>53</vt:i4>
      </vt:variant>
      <vt:variant>
        <vt:i4>0</vt:i4>
      </vt:variant>
      <vt:variant>
        <vt:i4>5</vt:i4>
      </vt:variant>
      <vt:variant>
        <vt:lpwstr/>
      </vt:variant>
      <vt:variant>
        <vt:lpwstr>_Toc227077077</vt:lpwstr>
      </vt:variant>
      <vt:variant>
        <vt:i4>1376306</vt:i4>
      </vt:variant>
      <vt:variant>
        <vt:i4>47</vt:i4>
      </vt:variant>
      <vt:variant>
        <vt:i4>0</vt:i4>
      </vt:variant>
      <vt:variant>
        <vt:i4>5</vt:i4>
      </vt:variant>
      <vt:variant>
        <vt:lpwstr/>
      </vt:variant>
      <vt:variant>
        <vt:lpwstr>_Toc227077076</vt:lpwstr>
      </vt:variant>
      <vt:variant>
        <vt:i4>1376306</vt:i4>
      </vt:variant>
      <vt:variant>
        <vt:i4>41</vt:i4>
      </vt:variant>
      <vt:variant>
        <vt:i4>0</vt:i4>
      </vt:variant>
      <vt:variant>
        <vt:i4>5</vt:i4>
      </vt:variant>
      <vt:variant>
        <vt:lpwstr/>
      </vt:variant>
      <vt:variant>
        <vt:lpwstr>_Toc227077075</vt:lpwstr>
      </vt:variant>
      <vt:variant>
        <vt:i4>1376306</vt:i4>
      </vt:variant>
      <vt:variant>
        <vt:i4>35</vt:i4>
      </vt:variant>
      <vt:variant>
        <vt:i4>0</vt:i4>
      </vt:variant>
      <vt:variant>
        <vt:i4>5</vt:i4>
      </vt:variant>
      <vt:variant>
        <vt:lpwstr/>
      </vt:variant>
      <vt:variant>
        <vt:lpwstr>_Toc227077074</vt:lpwstr>
      </vt:variant>
      <vt:variant>
        <vt:i4>1376306</vt:i4>
      </vt:variant>
      <vt:variant>
        <vt:i4>29</vt:i4>
      </vt:variant>
      <vt:variant>
        <vt:i4>0</vt:i4>
      </vt:variant>
      <vt:variant>
        <vt:i4>5</vt:i4>
      </vt:variant>
      <vt:variant>
        <vt:lpwstr/>
      </vt:variant>
      <vt:variant>
        <vt:lpwstr>_Toc227077073</vt:lpwstr>
      </vt:variant>
      <vt:variant>
        <vt:i4>1376306</vt:i4>
      </vt:variant>
      <vt:variant>
        <vt:i4>23</vt:i4>
      </vt:variant>
      <vt:variant>
        <vt:i4>0</vt:i4>
      </vt:variant>
      <vt:variant>
        <vt:i4>5</vt:i4>
      </vt:variant>
      <vt:variant>
        <vt:lpwstr/>
      </vt:variant>
      <vt:variant>
        <vt:lpwstr>_Toc227077072</vt:lpwstr>
      </vt:variant>
      <vt:variant>
        <vt:i4>1376306</vt:i4>
      </vt:variant>
      <vt:variant>
        <vt:i4>17</vt:i4>
      </vt:variant>
      <vt:variant>
        <vt:i4>0</vt:i4>
      </vt:variant>
      <vt:variant>
        <vt:i4>5</vt:i4>
      </vt:variant>
      <vt:variant>
        <vt:lpwstr/>
      </vt:variant>
      <vt:variant>
        <vt:lpwstr>_Toc227077071</vt:lpwstr>
      </vt:variant>
      <vt:variant>
        <vt:i4>7405657</vt:i4>
      </vt:variant>
      <vt:variant>
        <vt:i4>12</vt:i4>
      </vt:variant>
      <vt:variant>
        <vt:i4>0</vt:i4>
      </vt:variant>
      <vt:variant>
        <vt:i4>5</vt:i4>
      </vt:variant>
      <vt:variant>
        <vt:lpwstr>mailto:ncademi@usu.edu</vt:lpwstr>
      </vt:variant>
      <vt:variant>
        <vt:lpwstr/>
      </vt:variant>
      <vt:variant>
        <vt:i4>524363</vt:i4>
      </vt:variant>
      <vt:variant>
        <vt:i4>9</vt:i4>
      </vt:variant>
      <vt:variant>
        <vt:i4>0</vt:i4>
      </vt:variant>
      <vt:variant>
        <vt:i4>5</vt:i4>
      </vt:variant>
      <vt:variant>
        <vt:lpwstr>https://ncademi.org/</vt:lpwstr>
      </vt:variant>
      <vt:variant>
        <vt:lpwstr/>
      </vt:variant>
      <vt:variant>
        <vt:i4>3604606</vt:i4>
      </vt:variant>
      <vt:variant>
        <vt:i4>6</vt:i4>
      </vt:variant>
      <vt:variant>
        <vt:i4>0</vt:i4>
      </vt:variant>
      <vt:variant>
        <vt:i4>5</vt:i4>
      </vt:variant>
      <vt:variant>
        <vt:lpwstr>https://creativecommons.org/licenses/by-sa/4.0/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 Title II Roadmap for SEAs &amp; LEAs</dc:title>
  <dc:subject/>
  <dc:creator>NCADEMI</dc:creator>
  <cp:keywords/>
  <dc:description/>
  <cp:lastModifiedBy>Jena Fahlbush</cp:lastModifiedBy>
  <cp:revision>70</cp:revision>
  <dcterms:created xsi:type="dcterms:W3CDTF">2026-04-14T23:35:00Z</dcterms:created>
  <dcterms:modified xsi:type="dcterms:W3CDTF">2026-04-15T13:08:00Z</dcterms:modified>
  <cp:category/>
</cp:coreProperties>
</file>